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MighEV — Inkrafttreten</w:t>
      </w:r>
    </w:p>
    <w:p>
      <w:r>
        <w:rPr>
          <w:color w:val="555555"/>
          <w:sz w:val="18"/>
        </w:rPr>
        <w:t xml:space="preserve">Migrationshintergrund-Erhebungsverordnung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7 MighEV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https://recht.nulegal.eu/gesetze/MighEV/7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