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MighEV — Erhebungspersonen</w:t>
      </w:r>
    </w:p>
    <w:p>
      <w:r>
        <w:rPr>
          <w:color w:val="555555"/>
          <w:sz w:val="18"/>
        </w:rPr>
        <w:t xml:space="preserve">Migrationshintergrund-Erhebungsverordnung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Daten zu Merkmalen des Migrationshintergrundes nach § 4 Absatz 1 sind für alle Ausbildung- und Arbeitsuchenden, Arbeitslosen und von Arbeitslosigkeit bedrohten Arbeitnehmerinnen und Arbeitnehmer sowie für alle erwerbsfähigen Hilfebedürftigen und Personen, die mit ihnen in einer Bedarfsgemeinschaft leben, zu erheben.</w:t>
      </w:r>
    </w:p>
    <w:p>
      <w:r>
        <w:rPr>
          <w:color w:val="555555"/>
          <w:sz w:val="17"/>
        </w:rPr>
        <w:t xml:space="preserve">Zitiervorschlag: § 2 MighEV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https://recht.nulegal.eu/gesetze/MighEV/2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