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MighEV — Zweck und Anwendungsbereich</w:t>
      </w:r>
    </w:p>
    <w:p>
      <w:r>
        <w:rPr>
          <w:color w:val="555555"/>
          <w:sz w:val="18"/>
        </w:rPr>
        <w:t xml:space="preserve">Migrationshintergrund-Erhebungsverordnung</w:t>
      </w:r>
    </w:p>
    <w:p>
      <w:r>
        <w:rPr>
          <w:color w:val="555555"/>
          <w:sz w:val="18"/>
        </w:rPr>
        <w:t xml:space="preserve">Stand: 10.06.2019 (konsolidierte Textfassung, kein amtliches Inkrafttretensdatum)</w:t>
      </w:r>
    </w:p>
    <w:p>
      <w:r>
        <w:t xml:space="preserve">Diese Verordnung regelt Art und Umfang der zur Bestimmung des Migrationshintergrundes für Zwecke der Statistik der Bundesagentur für Arbeit zu erhebenden Merkmale und die Durchführung des Verfahrens, insbesondere die Erhebung und Verarbeitung der erforderlichen Daten.</w:t>
      </w:r>
    </w:p>
    <w:p>
      <w:r>
        <w:rPr>
          <w:color w:val="555555"/>
          <w:sz w:val="17"/>
        </w:rPr>
        <w:t xml:space="preserve">Zitiervorschlag: § 1 MighEV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https://recht.nulegal.eu/gesetze/MighEV/1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