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 § 2 MietRVerbG</w:t>
      </w:r>
    </w:p>
    <w:p>
      <w:r>
        <w:rPr>
          <w:color w:val="555555"/>
          <w:sz w:val="18"/>
        </w:rPr>
        <w:t xml:space="preserve">Gesetz zur Verbesserung des Mietrechts und zur Begrenzung des Mietanstiegs sowie zur Regelung von Ingenieur- und Architektenleistungen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Vorschriften dieses Gesetzes treten unbeschadet des Absatzes 2 am Tage nach der Verkündung in Kraft.</w:t>
      </w:r>
    </w:p>
    <w:p>
      <w:r>
        <w:t xml:space="preserve">(2) Soweit das Mieterschutzgesetz noch in Geltung ist, tritt Artikel 1 mit dessen Außerkrafttreten in Kraft. Das Inkrafttreten des Artikels 4 gemäß Absatz 1 bleibt hiervon unberührt.</w:t>
      </w:r>
    </w:p>
    <w:p>
      <w:r>
        <w:rPr>
          <w:color w:val="555555"/>
          <w:sz w:val="17"/>
        </w:rPr>
        <w:t xml:space="preserve">Zitiervorschlag: Art 11 § 2 MietRVerbG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https://recht.nulegal.eu/gesetze/MietRVerbG/11-2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