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11 § 1 MietRVerbG</w:t>
      </w:r>
    </w:p>
    <w:p>
      <w:r>
        <w:rPr>
          <w:color w:val="555555"/>
          <w:sz w:val="18"/>
        </w:rPr>
        <w:t xml:space="preserve">Gesetz zur Verbesserung des Mietrechts und zur Begrenzung des Mietanstiegs sowie zur Regelung von Ingenieur- und Architektenleistungen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gilt nach Maßgabe des § 13 Abs. 1 des Dritten Überleitungsgesetzes vom 4. Januar 1952 (Bundesgesetzbl. I S. 1) auch im Land Berlin. Rechtsverordnungen, die auf Grund dieses Gesetzes erlassen werden, gelten im Land Berlin nach § 14 des Dritten Überleitungsgesetzes.</w:t>
      </w:r>
    </w:p>
    <w:p>
      <w:r>
        <w:rPr>
          <w:color w:val="555555"/>
          <w:sz w:val="17"/>
        </w:rPr>
        <w:t xml:space="preserve">Zitiervorschlag: Art 11 § 1 MietRVerbG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https://recht.nulegal.eu/gesetze/MietRVerbG/11-1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