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MietPfG</w:t>
      </w:r>
    </w:p>
    <w:p>
      <w:r>
        <w:rPr>
          <w:color w:val="555555"/>
          <w:sz w:val="18"/>
        </w:rPr>
        <w:t xml:space="preserve">Gesetz über die Pfändung von Miet- und Pachtzinsforderungen wegen Ansprüche aus öffentlichen Grundstückslasten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Reichsregierung hat das folgende Gesetz beschlossen, das hiermit verkündet wird:</w:t>
      </w:r>
    </w:p>
    <w:p>
      <w:r>
        <w:rPr>
          <w:color w:val="555555"/>
          <w:sz w:val="17"/>
        </w:rPr>
        <w:t xml:space="preserve">Zitiervorschlag: Eingangsformel MietPfG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https://recht.nulegal.eu/gesetze/MietPfG/eingangsformel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