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MietNEinV</w:t>
      </w:r>
    </w:p>
    <w:p>
      <w:r>
        <w:rPr>
          <w:color w:val="555555"/>
          <w:sz w:val="18"/>
        </w:rPr>
        <w:t xml:space="preserve">Mietniveau-Einstufungsverordnung</w:t>
      </w:r>
    </w:p>
    <w:p>
      <w:r>
        <w:rPr>
          <w:color w:val="555555"/>
          <w:sz w:val="18"/>
        </w:rPr>
        <w:t xml:space="preserve">Stand: 28.08.2021 (konsolidierte Textfassung, kein amtliches Inkrafttretensdatum)</w:t>
      </w:r>
    </w:p>
    <w:p>
      <w:r>
        <w:t xml:space="preserve">Auf Grund des § 263 Absatz 2 des Bewertungsgesetzes, der durch Artikel 1 Nummer 2 des Gesetzes vom 26. November 2019 (BGBl. I S. 1794)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MietNEinV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https://recht.nulegal.eu/gesetze/MietNEinV/eingangsformel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