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MietNEinV — Inkrafttreten</w:t>
      </w:r>
    </w:p>
    <w:p>
      <w:r>
        <w:rPr>
          <w:color w:val="555555"/>
          <w:sz w:val="18"/>
        </w:rPr>
        <w:t xml:space="preserve">Mietniveau-Einstufungsverordnung</w:t>
      </w:r>
    </w:p>
    <w:p>
      <w:r>
        <w:rPr>
          <w:color w:val="555555"/>
          <w:sz w:val="18"/>
        </w:rPr>
        <w:t xml:space="preserve">Stand: 28.08.2021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2 MietNEinV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https://recht.nulegal.eu/gesetze/MietNEinV/2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