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MiSchuV (Bayern)</w:t>
      </w:r>
    </w:p>
    <w:p>
      <w:r>
        <w:rPr>
          <w:color w:val="555555"/>
          <w:sz w:val="18"/>
        </w:rPr>
        <w:t xml:space="preserve">Mieterschutzverordnung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556d Abs. 2 Satz 1, des § 558 Abs. 3 Satz 3 und des § 577a Abs. 2 Satz 2 des Bürgerlichen Gesetzbuchs (BGB) in der Fassung der Bekanntmachung vom 2. Januar 2002 (BGBl. I S. 42, 2909; 2003 I S. 738), das zuletzt durch Art. 1 des Gesetzes vom 17. Juli 2025 (BGBl. 2025 I Nr. 163) geändert worden ist, verordnet die Bayerische Staatsregierung:</w:t>
      </w:r>
    </w:p>
    <w:p>
      <w:r>
        <w:rPr>
          <w:color w:val="555555"/>
          <w:sz w:val="17"/>
        </w:rPr>
        <w:t xml:space="preserve">Zitiervorschlag: Eingangsformel MiSchuV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https://recht.nulegal.eu/gesetze/MiSchuV/eingangsformel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MiSchuV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