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MiSchuV (Bayern) — Inkrafttreten; Außerkrafttreten</w:t>
      </w:r>
    </w:p>
    <w:p>
      <w:r>
        <w:rPr>
          <w:color w:val="555555"/>
          <w:sz w:val="18"/>
        </w:rPr>
        <w:t xml:space="preserve">Mieterschutzverordnung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2026 in Kraft und mit Ablauf des 31. Dezember 2029 außer Kraft.</w:t>
      </w:r>
    </w:p>
    <w:p>
      <w:r>
        <w:rPr>
          <w:color w:val="555555"/>
          <w:sz w:val="17"/>
        </w:rPr>
        <w:t xml:space="preserve">Zitiervorschlag: § 2 MiSchuV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https://recht.nulegal.eu/gesetze/MiSchuV/2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MiSchuV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