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MiLoV5</w:t>
      </w:r>
    </w:p>
    <w:p>
      <w:r>
        <w:rPr>
          <w:color w:val="555555"/>
          <w:sz w:val="18"/>
        </w:rPr>
        <w:t xml:space="preserve">Fünfte Mindestlohnanpassungsverordnung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Bundesregierung verordnet aufgrund des § 11 des Mindestlohngesetzes vom 11. August 2014 (BGBl. I S. 1348), das zuletzt durch Artikel 2 des Gesetzes vom 28. Juni 2023 (BGBl. 2023 I Nr. 172) geändert worden ist:</w:t>
      </w:r>
    </w:p>
    <w:p>
      <w:r>
        <w:rPr>
          <w:color w:val="555555"/>
          <w:sz w:val="17"/>
        </w:rPr>
        <w:t xml:space="preserve">Zitiervorschlag: Eingangsformel MiLoV5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