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MiLoV5 — Inkrafttreten</w:t>
      </w:r>
    </w:p>
    <w:p>
      <w:r>
        <w:rPr>
          <w:color w:val="555555"/>
          <w:sz w:val="18"/>
        </w:rPr>
        <w:t xml:space="preserve">Fünfte Mindestlohnanpassungsverordnung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Diese Verordnung tritt am 1. Januar 2026 in Kraft.</w:t>
      </w:r>
    </w:p>
    <w:p>
      <w:r>
        <w:rPr>
          <w:color w:val="555555"/>
          <w:sz w:val="17"/>
        </w:rPr>
        <w:t xml:space="preserve">Zitiervorschlag: § 2 MiLoV5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