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MiLoV5 — Höhe des Mindestlohns</w:t>
      </w:r>
    </w:p>
    <w:p>
      <w:r>
        <w:rPr>
          <w:color w:val="555555"/>
          <w:sz w:val="18"/>
        </w:rPr>
        <w:t xml:space="preserve">Fünfte Mindestlohnanpassungsverordnung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Der Mindestlohn beträgt</w:t>
      </w:r>
    </w:p>
    <w:p>
      <w:r>
        <w:rPr>
          <w:rFonts w:ascii="Courier New" w:hAnsi="Courier New"/>
          <w:sz w:val="17"/>
        </w:rPr>
        <w:t xml:space="preserve">1.    ab 1. Januar 2026    13,90 Euro brutto je Zeitstunde,</w:t>
      </w:r>
    </w:p>
    <w:p>
      <w:r>
        <w:rPr>
          <w:rFonts w:ascii="Courier New" w:hAnsi="Courier New"/>
          <w:sz w:val="17"/>
        </w:rPr>
        <w:t xml:space="preserve">2.    ab 1. Januar 2027    14,60 Euro brutto je Zeitstunde.</w:t>
      </w:r>
    </w:p>
    <w:p>
      <w:r>
        <w:rPr>
          <w:color w:val="555555"/>
          <w:sz w:val="17"/>
        </w:rPr>
        <w:t xml:space="preserve">Zitiervorschlag: § 1 MiLoV5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