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MiLoV4 — Inkrafttreten</w:t>
      </w:r>
    </w:p>
    <w:p>
      <w:r>
        <w:rPr>
          <w:color w:val="555555"/>
          <w:sz w:val="18"/>
        </w:rPr>
        <w:t xml:space="preserve">Vierte Mindestlohnanpassungsverordnung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2 MiLoV4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