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MiLoV4 — Höhe des Mindestlohns</w:t>
      </w:r>
    </w:p>
    <w:p>
      <w:r>
        <w:rPr>
          <w:color w:val="555555"/>
          <w:sz w:val="18"/>
        </w:rPr>
        <w:t xml:space="preserve">Vierte Mindestlohnanpassungsverordnung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Der Mindestlohn beträgt</w:t>
      </w:r>
    </w:p>
    <w:p>
      <w:r>
        <w:rPr>
          <w:rFonts w:ascii="Courier New" w:hAnsi="Courier New"/>
          <w:sz w:val="17"/>
        </w:rPr>
        <w:t xml:space="preserve">ab 1. Januar 2024    12,41 Euro brutto je Zeitstunde,</w:t>
      </w:r>
    </w:p>
    <w:p>
      <w:r>
        <w:rPr>
          <w:rFonts w:ascii="Courier New" w:hAnsi="Courier New"/>
          <w:sz w:val="17"/>
        </w:rPr>
        <w:t xml:space="preserve">ab 1. Januar 2025    12,82 Euro brutto je Zeitstunde.</w:t>
      </w:r>
    </w:p>
    <w:p>
      <w:r>
        <w:rPr>
          <w:color w:val="555555"/>
          <w:sz w:val="17"/>
        </w:rPr>
        <w:t xml:space="preserve">Zitiervorschlag: § 1 MiLoV4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