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MiLoV3</w:t>
      </w:r>
    </w:p>
    <w:p>
      <w:r>
        <w:rPr>
          <w:color w:val="555555"/>
          <w:sz w:val="18"/>
        </w:rPr>
        <w:t xml:space="preserve">Dritte Mindestlohnanpassungsverordnung</w:t>
      </w:r>
    </w:p>
    <w:p>
      <w:r>
        <w:rPr>
          <w:color w:val="555555"/>
          <w:sz w:val="18"/>
        </w:rPr>
        <w:t xml:space="preserve">Historische Fassung: Stand 01.01.2021 bis 01.10.2022. Dies ist nicht die aktuelle Fassung.</w:t>
      </w:r>
    </w:p>
    <w:p>
      <w:r>
        <w:t xml:space="preserve">Auf Grund des § 11 des Mindestlohngesetzes vom 11. August 2014 (BGBl. I S. 1348) verordnet die Bundesregierung:</w:t>
      </w:r>
    </w:p>
    <w:p>
      <w:r>
        <w:rPr>
          <w:color w:val="555555"/>
          <w:sz w:val="17"/>
        </w:rPr>
        <w:t xml:space="preserve">Zitiervorschlag: Eingangsformel MiLoV3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https://recht.nulegal.eu/gesetze/MiLoV3/eingangsformel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