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MiLoV2</w:t>
      </w:r>
    </w:p>
    <w:p>
      <w:r>
        <w:rPr>
          <w:color w:val="555555"/>
          <w:sz w:val="18"/>
        </w:rPr>
        <w:t xml:space="preserve">Zweite Mindestlohnanpassungsverordnung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Auf Grund des § 11 des Mindestlohngesetzes vom 11. August 2014 (BGBl. I S. 1348) verordnet die Bundesregierung:</w:t>
      </w:r>
    </w:p>
    <w:p>
      <w:r>
        <w:rPr>
          <w:color w:val="555555"/>
          <w:sz w:val="17"/>
        </w:rPr>
        <w:t xml:space="preserve">Zitiervorschlag: Eingangsformel MiLoV2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https://recht.nulegal.eu/gesetze/MiLoV2/eingangsformel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