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MiLoV2 — Höhe des Mindestlohns</w:t>
      </w:r>
    </w:p>
    <w:p>
      <w:r>
        <w:rPr>
          <w:color w:val="555555"/>
          <w:sz w:val="18"/>
        </w:rPr>
        <w:t xml:space="preserve">Zweite Mindestlohnanpassungsverordnung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Mindestlohn beträgt ab</w:t>
      </w:r>
    </w:p>
    <w:p>
      <w:r>
        <w:rPr>
          <w:rFonts w:ascii="Courier New" w:hAnsi="Courier New"/>
          <w:sz w:val="17"/>
        </w:rPr>
        <w:t xml:space="preserve">1. Januar 2019    9,19 Euro brutto je Zeitstunde</w:t>
      </w:r>
    </w:p>
    <w:p>
      <w:r>
        <w:rPr>
          <w:rFonts w:ascii="Courier New" w:hAnsi="Courier New"/>
          <w:sz w:val="17"/>
        </w:rPr>
        <w:t xml:space="preserve">1. Januar 2020    9,35 Euro brutto je Zeitstunde.</w:t>
      </w:r>
    </w:p>
    <w:p>
      <w:r>
        <w:rPr>
          <w:color w:val="555555"/>
          <w:sz w:val="17"/>
        </w:rPr>
        <w:t xml:space="preserve">Zitiervorschlag: § 1 MiLoV2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