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MiLoMeldV</w:t>
      </w:r>
    </w:p>
    <w:p>
      <w:r>
        <w:rPr>
          <w:color w:val="555555"/>
          <w:sz w:val="18"/>
        </w:rPr>
        <w:t xml:space="preserve">Mindestlohnmeldeverordnung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 Absatz 5 Nummer 2 und 3 des Mindestlohngesetzes vom 11. August 2014 (BGBl. I S. 1348), des § 18 Absatz 5 Nummer 2 und 3 des Arbeitnehmer-Entsendegesetzes vom 20. April 2009 (BGBl. I S. 799) und des § 17b Absatz 3 Nummer 2 und 3 des Arbeitnehmerüberlassungsgesetzes, der durch Artikel 1 Nummer 3 des Gesetzes vom 20. Juli 2011 (BGBl. I S. 1506) eingefügt worden ist, verordnet das Bundesministerium der Finanzen im Einvernehmen mit dem Bundesministerium für Arbeit und Soziales:</w:t>
      </w:r>
    </w:p>
    <w:p>
      <w:r>
        <w:rPr>
          <w:color w:val="555555"/>
          <w:sz w:val="17"/>
        </w:rPr>
        <w:t xml:space="preserve">Zitiervorschlag: Eingangsformel MiLoMeldV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https://recht.nulegal.eu/gesetze/MiLoMeldV/eingangsformel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