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MiLoMeldV — Inkrafttreten, Außerkrafttreten</w:t>
      </w:r>
    </w:p>
    <w:p>
      <w:r>
        <w:rPr>
          <w:color w:val="555555"/>
          <w:sz w:val="18"/>
        </w:rPr>
        <w:t xml:space="preserve">Mindestlohnmeldeverordnung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2015 in Kraft. Gleichzeitig tritt die Arbeitnehmer-Entsendegesetz-Meldeverordnung vom 10. September 2010 (BGBl. I S. 1304) außer Kraft.</w:t>
      </w:r>
    </w:p>
    <w:p>
      <w:r>
        <w:rPr>
          <w:color w:val="555555"/>
          <w:sz w:val="17"/>
        </w:rPr>
        <w:t xml:space="preserve">Zitiervorschlag: § 4 MiLoMeldV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https://recht.nulegal.eu/gesetze/MiLoMeldV/4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