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MiLoMeldV — Meldung</w:t>
      </w:r>
    </w:p>
    <w:p>
      <w:r>
        <w:rPr>
          <w:color w:val="555555"/>
          <w:sz w:val="18"/>
        </w:rPr>
        <w:t xml:space="preserve">Mindestlohnmeldeverordnung</w:t>
      </w:r>
    </w:p>
    <w:p>
      <w:r>
        <w:rPr>
          <w:color w:val="555555"/>
          <w:sz w:val="18"/>
        </w:rPr>
        <w:t xml:space="preserve">Stand: 01.07.2023 (konsolidierte Textfassung, kein amtliches Inkrafttretensdatum)</w:t>
      </w:r>
    </w:p>
    <w:p>
      <w:r>
        <w:t xml:space="preserve">(1) Der Arbeitgeber mit Sitz im Ausland soll die Meldungen nach § 16 Absatz 1 des Mindestlohngesetzes und § 18 Absatz 1 des Arbeitnehmer-Entsendegesetzes elektronisch übermitteln. Für die elektronische Übermittlung hat er das Internetportal zu nutzen, das die Zollverwaltung zur Verfügung stellt. Abweichend von den Sätzen 1 und 2 haben Arbeitgeber mit Sitz in einem anderen Mitgliedstaat der Europäischen Union oder des Europäischen Wirtschaftsraums, die Kraftfahrerinnen oder Kraftfahrer nach § 36 Absatz 1 des Arbeitgeber-Entsendegesetzes im Inland beschäftigen, die Anmeldung mittels der elektronischen Schnittstelle des Binnenmarkt-Informationssystems nach Artikel 1 in Verbindung mit Artikel 5 Buchstabe a der Verordnung (EU) Nr. 1024/2012 des Europäischen Parlaments und des Rates vom 25. Oktober 2012 über die Verwaltungszusammenarbeit mit Hilfe des Binnenmarkt-Informationssystems und zur Aufhebung der Entscheidung 2008/49/EG der Kommission („IMI-Verordnung“) (ABI. L 316 vom 14.11.2012, S. 1), die zuletzt durch die Verordnung (EU) 2020/1055 (ABI. L 249 vom 31.7.2020, S. 17) geändert worden ist, zuzuleiten.</w:t>
      </w:r>
    </w:p>
    <w:p>
      <w:r>
        <w:t xml:space="preserve">(2) Absatz 1 gilt entsprechend für Verleiher bei Meldungen</w:t>
      </w:r>
    </w:p>
    <w:p>
      <w:pPr>
        <w:ind w:left="420"/>
      </w:pPr>
      <w:r>
        <w:t xml:space="preserve">1. nach § 16 Absatz 3 des Mindestlohngesetzes,</w:t>
      </w:r>
    </w:p>
    <w:p>
      <w:pPr>
        <w:ind w:left="420"/>
      </w:pPr>
      <w:r>
        <w:t xml:space="preserve">2. nach § 18 Absatz 3 des Arbeitnehmer-Entsendegesetzes und</w:t>
      </w:r>
    </w:p>
    <w:p>
      <w:pPr>
        <w:ind w:left="420"/>
      </w:pPr>
      <w:r>
        <w:t xml:space="preserve">3. nach § 17b Absatz 1 des Arbeitnehmerüberlassungsgesetzes.</w:t>
      </w:r>
    </w:p>
    <w:p>
      <w:r>
        <w:t xml:space="preserve">(3) Bei der elektronischen Übermittlung nach Absatz 1 Satz 1 und 2 sowie Absatz 2 hat die Zollverwaltung Verfahren einzusetzen, die dem jeweiligen Stand der Technik entsprechen sowie die Vertraulichkeit und Integrität der Daten gewährleisten. Bei Nutzung allgemein zugänglicher Netze sind die Daten über das Internetportal Ende-zu-Ende zu verschlüsseln. Jede Meldung sowie die darin enthaltenen Datensätze sind systemseitig mit einem eindeutigen Kennzeichen zur Identifizierung zu versehen.</w:t>
      </w:r>
    </w:p>
    <w:p>
      <w:r>
        <w:rPr>
          <w:color w:val="555555"/>
          <w:sz w:val="17"/>
        </w:rPr>
        <w:t xml:space="preserve">Zitiervorschlag: § 1 MiLoMeldV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https://recht.nulegal.eu/gesetze/MiLoMeldV/1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