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MiLoGMeldStellV — Inkrafttreten</w:t>
      </w:r>
    </w:p>
    <w:p>
      <w:r>
        <w:rPr>
          <w:color w:val="555555"/>
          <w:sz w:val="18"/>
        </w:rPr>
        <w:t xml:space="preserve">Verordnung zur Bestimmung der zuständigen Behörde nach § 16 Absatz 6 des Mindestlohngesetzes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2015 in Kraft.</w:t>
      </w:r>
    </w:p>
    <w:p>
      <w:r>
        <w:rPr>
          <w:color w:val="555555"/>
          <w:sz w:val="17"/>
        </w:rPr>
        <w:t xml:space="preserve">Zitiervorschlag: § 2 MiLoGMeldStellV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https://recht.nulegal.eu/gesetze/MiLoGMeldStellV/2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