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MiLoGMeldStellV — Meldestelle</w:t>
      </w:r>
    </w:p>
    <w:p>
      <w:r>
        <w:rPr>
          <w:color w:val="555555"/>
          <w:sz w:val="18"/>
        </w:rPr>
        <w:t xml:space="preserve">Verordnung zur Bestimmung der zuständigen Behörde nach § 16 Absatz 6 des Mindestlohngesetzes</w:t>
      </w:r>
    </w:p>
    <w:p>
      <w:r>
        <w:rPr>
          <w:color w:val="555555"/>
          <w:sz w:val="18"/>
        </w:rPr>
        <w:t xml:space="preserve">Stand: 01.07.2023 (konsolidierte Textfassung, kein amtliches Inkrafttretensdatum)</w:t>
      </w:r>
    </w:p>
    <w:p>
      <w:r>
        <w:t xml:space="preserve">Die Generalzolldirektion ist zuständige Behörde der Zollverwaltung im Sinne von § 16 Absatz 1 Satz 1, Absatz 2 Satz 1 und Absatz 3 Satz 1 des Mindestlohngesetzes.</w:t>
      </w:r>
    </w:p>
    <w:p>
      <w:r>
        <w:rPr>
          <w:color w:val="555555"/>
          <w:sz w:val="17"/>
        </w:rPr>
        <w:t xml:space="preserve">Zitiervorschlag: § 1 MiLoGMeldStellV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https://recht.nulegal.eu/gesetze/MiLoGMeldStellV/1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