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MiLoG — Bußgeldvorschriften</w:t>
      </w:r>
    </w:p>
    <w:p>
      <w:r>
        <w:rPr>
          <w:color w:val="555555"/>
          <w:sz w:val="18"/>
        </w:rPr>
        <w:t xml:space="preserve">Mindestlohngesetz</w:t>
      </w:r>
    </w:p>
    <w:p>
      <w:r>
        <w:rPr>
          <w:color w:val="555555"/>
          <w:sz w:val="18"/>
        </w:rPr>
        <w:t xml:space="preserve">Stand: 31.12.2025 (konsolidierte Textfassung, kein amtliches Inkrafttretensdatum)</w:t>
      </w:r>
    </w:p>
    <w:p>
      <w:r>
        <w:t xml:space="preserve">(1) Ordnungswidrig handelt, wer vorsätzlich oder fahrlässig</w:t>
      </w:r>
    </w:p>
    <w:p>
      <w:pPr>
        <w:ind w:left="420"/>
      </w:pPr>
      <w:r>
        <w:t xml:space="preserve">1. entgegen § 15 in Verbindung mit § 5 Absatz 1 Satz 1 Nummer 1 des Schwarzarbeitsbekämpfungsgesetzes eine Prüfung nicht duldet oder bei einer Prüfung nicht mitwirkt,</w:t>
      </w:r>
    </w:p>
    <w:p>
      <w:pPr>
        <w:ind w:left="420"/>
      </w:pPr>
      <w:r>
        <w:t xml:space="preserve">2. entgegen § 15 in Verbindung mit § 5 Absatz 1 Satz 1 Nummer 2 des Schwarzarbeitsbekämpfungsgesetzes das Betreten eines Grundstücks oder Geschäftsraums nicht duldet,</w:t>
      </w:r>
    </w:p>
    <w:p>
      <w:pPr>
        <w:ind w:left="420"/>
      </w:pPr>
      <w:r>
        <w:t xml:space="preserve">3. entgegen § 15 in Verbindung mit § 5 Absatz 1 Satz 1 Nummer 3 Buchstabe a des Schwarzarbeitsbekämpfungsgesetzes eine dort genannte Auskunft nicht, nicht richtig, nicht vollständig, nicht in der vorgeschriebenen Weise oder nicht rechtzeitig erteilt,</w:t>
      </w:r>
    </w:p>
    <w:p>
      <w:pPr>
        <w:ind w:left="420"/>
      </w:pPr>
      <w:r>
        <w:t xml:space="preserve">4. entgegen § 15 in Verbindung mit § 5 Absatz 1 Satz 1 Nummer 3 Buchstabe b des Schwarzarbeitsbekämpfungsgesetzes eine dort genannte Unterlage nicht, nicht richtig, nicht vollständig oder nicht rechtzeitig bereitstellt oder nicht, nicht richtig, nicht vollständig oder nicht rechtzeitig vorlegt,</w:t>
      </w:r>
    </w:p>
    <w:p>
      <w:pPr>
        <w:ind w:left="420"/>
      </w:pPr>
      <w:r>
        <w:t xml:space="preserve">5. entgegen § 15 in Verbindung mit § 5 Absatz 1 Satz 1 Nummer 4 des Schwarzarbeitsbekämpfungsgesetzes die Einsicht in eine dort genannte Unterlage nicht, nicht richtig oder nicht rechtzeitig ermöglicht,</w:t>
      </w:r>
    </w:p>
    <w:p>
      <w:pPr>
        <w:ind w:left="420"/>
      </w:pPr>
      <w:r>
        <w:t xml:space="preserve">6. entgegen § 16 Absatz 1 Satz 1, Absatz 2 Satz 1 oder Absatz 3 Satz 1 eine Anmeldung nicht, nicht richtig, nicht vollständig, nicht in der vorgeschriebenen Weise oder nicht rechtzeitig vorlegt oder nicht, nicht richtig, nicht vollständig, nicht in der vorgeschriebenen Weise oder nicht rechtzeitig zuleitet,</w:t>
      </w:r>
    </w:p>
    <w:p>
      <w:pPr>
        <w:ind w:left="420"/>
      </w:pPr>
      <w:r>
        <w:t xml:space="preserve">7. entgegen § 16 Absatz 1 Satz 3, auch in Verbindung mit Absatz 2 Satz 2 oder Absatz 3 Satz 2, eine Änderungsmeldung nicht, nicht richtig, nicht vollständig, nicht in der vorgeschriebenen Weise oder nicht rechtzeitig macht,</w:t>
      </w:r>
    </w:p>
    <w:p>
      <w:pPr>
        <w:ind w:left="420"/>
      </w:pPr>
      <w:r>
        <w:t xml:space="preserve">8. entgegen § 17 Absatz 1 Satz 1, auch in Verbindung mit Satz 2, eine Aufzeichnung nicht, nicht richtig, nicht vollständig oder nicht rechtzeitig erstellt oder nicht oder nicht mindestens zwei Jahre aufbewahrt,</w:t>
      </w:r>
    </w:p>
    <w:p>
      <w:pPr>
        <w:ind w:left="420"/>
      </w:pPr>
      <w:r>
        <w:t xml:space="preserve">9. entgegen § 17 Absatz 2 eine Unterlage nicht, nicht richtig, nicht vollständig oder nicht in der vorgeschriebenen Weise bereithält,</w:t>
      </w:r>
    </w:p>
    <w:p>
      <w:pPr>
        <w:ind w:left="420"/>
      </w:pPr>
      <w:r>
        <w:t xml:space="preserve">10. entgegen § 17 Absatz 2a Satz 1 nicht sicherstellt, dass die dort genannten Unterlagen zur Verfügung stehen,</w:t>
      </w:r>
    </w:p>
    <w:p>
      <w:pPr>
        <w:ind w:left="420"/>
      </w:pPr>
      <w:r>
        <w:t xml:space="preserve">11. entgegen § 17 Absatz 2a Satz 2 eine Unterlage nicht, nicht richtig, nicht vollständig, nicht in der vorgeschriebenen Weise oder nicht rechtzeitig vorlegt,</w:t>
      </w:r>
    </w:p>
    <w:p>
      <w:pPr>
        <w:ind w:left="420"/>
      </w:pPr>
      <w:r>
        <w:t xml:space="preserve">12. entgegen § 17 Absatz 2b Satz 1 oder 3 eine Unterlage nicht, nicht richtig, nicht vollständig, nicht in der vorgeschriebenen Weise oder nicht rechtzeitig übermittelt oder</w:t>
      </w:r>
    </w:p>
    <w:p>
      <w:pPr>
        <w:ind w:left="420"/>
      </w:pPr>
      <w:r>
        <w:t xml:space="preserve">13. entgegen § 20 das dort genannte Arbeitsentgelt nicht oder nicht rechtzeitig zahlt.</w:t>
      </w:r>
    </w:p>
    <w:p>
      <w:r>
        <w:t xml:space="preserve">(2) Ordnungswidrig handelt, wer Werk- oder Dienstleistungen in erheblichem Umfang ausführen lässt, indem er als Unternehmer einen anderen Unternehmer beauftragt, von dem er weiß oder fahrlässig nicht weiß, dass dieser bei der Erfüllung dieses Auftrags</w:t>
      </w:r>
    </w:p>
    <w:p>
      <w:pPr>
        <w:ind w:left="420"/>
      </w:pPr>
      <w:r>
        <w:t xml:space="preserve">1. entgegen § 20 das dort genannte Arbeitsentgelt nicht oder nicht rechtzeitig zahlt oder</w:t>
      </w:r>
    </w:p>
    <w:p>
      <w:pPr>
        <w:ind w:left="420"/>
      </w:pPr>
      <w:r>
        <w:t xml:space="preserve">2. einen Nachunternehmer einsetzt oder zulässt, dass ein Nachunternehmer tätig wird, der entgegen § 20 das dort genannte Arbeitsentgelt nicht oder nicht rechtzeitig zahlt.</w:t>
      </w:r>
    </w:p>
    <w:p>
      <w:r>
        <w:t xml:space="preserve">(3) Die Ordnungswidrigkeit kann in den Fällen des Absatzes 1 Nummer 13 und des Absatzes 2 mit einer Geldbuße bis zu fünfhunderttausend Euro, in den Fällen des Absatzes 1 Nummer 8 mit einer Geldbuße bis zu fünfzigtausend Euro und in den übrigen Fällen mit einer Geldbuße bis zu dreißigtausend Euro geahndet werden.</w:t>
      </w:r>
    </w:p>
    <w:p>
      <w:r>
        <w:t xml:space="preserve">(4) Verwaltungsbehörden im Sinne des § 36 Absatz 1 Nummer 1 des Gesetzes über Ordnungswidrigkeiten sind die in § 14 genannten Behörden jeweils für ihren Geschäftsbereich.</w:t>
      </w:r>
    </w:p>
    <w:p>
      <w:r>
        <w:t xml:space="preserve">(5) Für die Vollstreckung zugunsten der Behörden des Bundes und der bundesunmittelbaren juristischen Personen des öffentlichen Rechts sowie für die Vollziehung des Vermögensarrestes nach § 111e der Strafprozessordnung in Verbindung mit § 46 des Gesetzes über Ordnungswidrigkeiten durch die in § 14 genannten Behörden gilt das Verwaltungs-Vollstreckungsgesetz des Bundes.</w:t>
      </w:r>
    </w:p>
    <w:p>
      <w:r>
        <w:rPr>
          <w:color w:val="555555"/>
          <w:sz w:val="17"/>
        </w:rPr>
        <w:t xml:space="preserve">Zitiervorschlag: § 21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