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MiLoG — Fälligkeit des Mindestlohns</w:t>
      </w:r>
    </w:p>
    <w:p>
      <w:r>
        <w:rPr>
          <w:color w:val="555555"/>
          <w:sz w:val="18"/>
        </w:rPr>
        <w:t xml:space="preserve">Mindestlohngesetz</w:t>
      </w:r>
    </w:p>
    <w:p>
      <w:r>
        <w:rPr>
          <w:color w:val="555555"/>
          <w:sz w:val="18"/>
        </w:rPr>
        <w:t xml:space="preserve">Stand: 10.06.2019 (konsolidierte Textfassung, kein amtliches Inkrafttretensdatum)</w:t>
      </w:r>
    </w:p>
    <w:p>
      <w:r>
        <w:t xml:space="preserve">(1) Der Arbeitgeber ist verpflichtet, der Arbeitnehmerin oder dem Arbeitnehmer den Mindestlohn</w:t>
      </w:r>
    </w:p>
    <w:p>
      <w:pPr>
        <w:ind w:left="420"/>
      </w:pPr>
      <w:r>
        <w:t xml:space="preserve">1. zum Zeitpunkt der vereinbarten Fälligkeit,</w:t>
      </w:r>
    </w:p>
    <w:p>
      <w:pPr>
        <w:ind w:left="420"/>
      </w:pPr>
      <w:r>
        <w:t xml:space="preserve">2. spätestens am letzten Bankarbeitstag (Frankfurt am Main) des Monats, der auf den Monat folgt, in dem die Arbeitsleistung erbracht wurde,</w:t>
      </w:r>
    </w:p>
    <w:p>
      <w:r>
        <w:t xml:space="preserve">zu zahlen. Für den Fall, dass keine Vereinbarung über die Fälligkeit getroffen worden ist, bleibt § 614 des Bürgerlichen Gesetzbuchs unberührt.</w:t>
      </w:r>
    </w:p>
    <w:p>
      <w:r>
        <w:t xml:space="preserve">(2) Abweichend von Absatz 1 Satz 1 sind bei Arbeitnehmerinnen und Arbeitnehmern die über die vertraglich vereinbarte Arbeitszeit hinausgehenden und auf einem schriftlich vereinbarten Arbeitszeitkonto eingestellten Arbeitsstunden spätestens innerhalb von zwölf Kalendermonaten nach ihrer monatlichen Erfassung durch bezahlte Freizeitgewährung oder Zahlung des Mindestlohns auszugleichen, soweit der Anspruch auf den Mindestlohn für die geleisteten Arbeitsstunden nach § 1 Absatz 1 nicht bereits durch Zahlung des verstetigten Arbeitsentgelts erfüllt ist. Im Falle der Beendigung des Arbeitsverhältnisses hat der Arbeitgeber nicht ausgeglichene Arbeitsstunden spätestens in dem auf die Beendigung des Arbeitsverhältnisses folgenden Kalendermonat auszugleichen. Die auf das Arbeitszeitkonto eingestellten Arbeitsstunden dürfen monatlich jeweils 50 Prozent der vertraglich vereinbarten Arbeitszeit nicht übersteigen.</w:t>
      </w:r>
    </w:p>
    <w:p>
      <w:r>
        <w:t xml:space="preserve">(3) Die Absätze 1 und 2 gelten nicht für Wertguthabenvereinbarungen im Sinne des Vierten Buches Sozialgesetzbuch. Satz 1 gilt entsprechend für eine im Hinblick auf den Schutz der Arbeitnehmerinnen und Arbeitnehmer vergleichbare ausländische Regelung.</w:t>
      </w:r>
    </w:p>
    <w:p>
      <w:r>
        <w:rPr>
          <w:color w:val="555555"/>
          <w:sz w:val="17"/>
        </w:rPr>
        <w:t xml:space="preserve">Zitiervorschlag: § 2 MiLoG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