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MiLoG — Haftung des Auftraggebers</w:t>
      </w:r>
    </w:p>
    <w:p>
      <w:r>
        <w:rPr>
          <w:color w:val="555555"/>
          <w:sz w:val="18"/>
        </w:rPr>
        <w:t xml:space="preserve">Mindestlohngesetz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14 des Arbeitnehmer-Entsendegesetzes findet entsprechende Anwendung.</w:t>
      </w:r>
    </w:p>
    <w:p>
      <w:r>
        <w:rPr>
          <w:color w:val="555555"/>
          <w:sz w:val="17"/>
        </w:rPr>
        <w:t xml:space="preserve">Zitiervorschlag: § 13 MiLoG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https://recht.nulegal.eu/gesetze/MiLoG/13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