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MiLoG — Geschäfts- und Informationsstelle für den Mindestlohn; Kostenträgerschaft</w:t>
      </w:r>
    </w:p>
    <w:p>
      <w:r>
        <w:rPr>
          <w:color w:val="555555"/>
          <w:sz w:val="18"/>
        </w:rPr>
        <w:t xml:space="preserve">Mindestlohngesetz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Mindestlohnkommission wird bei der Durchführung ihrer Aufgaben von einer Geschäftsstelle unterstützt. Die Geschäftsstelle untersteht insoweit fachlich der oder dem Vorsitzenden der Mindestlohnkommission.</w:t>
      </w:r>
    </w:p>
    <w:p>
      <w:r>
        <w:t xml:space="preserve">(2) Die Geschäftsstelle wird bei der Bundesanstalt für Arbeitsschutz und Arbeitsmedizin als selbständige Organisationeinheit eingerichtet.</w:t>
      </w:r>
    </w:p>
    <w:p>
      <w:r>
        <w:t xml:space="preserve">(3) Die Geschäftsstelle informiert und berät als Informationsstelle für den Mindestlohn Arbeitnehmerinnen und Arbeitnehmer sowie Unternehmen zum Thema Mindestlohn.</w:t>
      </w:r>
    </w:p>
    <w:p>
      <w:r>
        <w:t xml:space="preserve">(4) Die durch die Tätigkeit der Mindestlohnkommission und der Geschäftsstelle anfallenden Kosten trägt der Bund.</w:t>
      </w:r>
    </w:p>
    <w:p>
      <w:r>
        <w:rPr>
          <w:color w:val="555555"/>
          <w:sz w:val="17"/>
        </w:rPr>
        <w:t xml:space="preserve">Zitiervorschlag: § 12 MiLoG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