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MiLoDokV 2015</w:t>
      </w:r>
    </w:p>
    <w:p>
      <w:r>
        <w:rPr>
          <w:color w:val="555555"/>
          <w:sz w:val="18"/>
        </w:rPr>
        <w:t xml:space="preserve">Mindestlohndokumentationspflichtenverordnung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17 Absatz 3 des Mindestlohngesetzes vom 11. August 2014 (BGBl. I S. 1348) und des § 19 Absatz 3 des Arbeitnehmer-Entsendegesetzes vom 20. April 2009 (BGBl. I S. 799), der durch Artikel 6 Nummer 12 Buchstabe c des Gesetzes vom 11. August 2014 (BGBl. I S. 1348) angefügt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MiLoDokV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https://recht.nulegal.eu/gesetze/MiLoDokV%202015/eingangsformel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