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MiLoDokV 2015</w:t>
      </w:r>
    </w:p>
    <w:p>
      <w:r>
        <w:rPr>
          <w:color w:val="555555"/>
          <w:sz w:val="18"/>
        </w:rPr>
        <w:t xml:space="preserve">Mindestlohndokumentationspflichtenverordnung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2015 in Kraft. Gleichzeitig tritt die Mindestlohndokumentationspflichten-Verordnung vom 18. Dezember 2014 (BAnz AT 29.12.2014 V1) außer Kraft.</w:t>
      </w:r>
    </w:p>
    <w:p>
      <w:r>
        <w:rPr>
          <w:color w:val="555555"/>
          <w:sz w:val="17"/>
        </w:rPr>
        <w:t xml:space="preserve">Zitiervorschlag: § 2 MiLoDokV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https://recht.nulegal.eu/gesetze/MiLoDokV%202015/2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