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MiLoAufzV</w:t>
      </w:r>
    </w:p>
    <w:p>
      <w:r>
        <w:rPr>
          <w:color w:val="555555"/>
          <w:sz w:val="18"/>
        </w:rPr>
        <w:t xml:space="preserve">Mindestlohnaufzeichnungsverordnung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 Absatz 4 des Mindestlohngesetzes vom 11. August 2014 (BGBl. I S. 1348) und des § 19 Absatz 4 des Arbeitnehmer-Entsendegesetzes, der durch Artikel 6 Nummer 12 Buchstabe c des Gesetzes vom 11. August 2014 (BGBl. I S. 1348) angefügt worden ist, verordnet das Bundesministerium der Finanzen im Einvernehmen mit dem Bundesministerium für Arbeit und Soziales:</w:t>
      </w:r>
    </w:p>
    <w:p>
      <w:r>
        <w:rPr>
          <w:color w:val="555555"/>
          <w:sz w:val="17"/>
        </w:rPr>
        <w:t xml:space="preserve">Zitiervorschlag: Eingangsformel MiLoAufzV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https://recht.nulegal.eu/gesetze/MiLoAufzV/eingangsformel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