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MiCA — Befugnisse der zuständigen Behörden</w:t>
      </w:r>
    </w:p>
    <w:p>
      <w:r>
        <w:rPr>
          <w:color w:val="555555"/>
          <w:sz w:val="18"/>
        </w:rPr>
        <w:t xml:space="preserve">MiCA</w:t>
      </w:r>
    </w:p>
    <w:p>
      <w:r>
        <w:rPr>
          <w:color w:val="555555"/>
          <w:sz w:val="18"/>
        </w:rPr>
        <w:t xml:space="preserve">Stand: 22.07.2026 (konsolidierte Textfassung, kein amtliches Inkrafttretensdatum)</w:t>
      </w:r>
    </w:p>
    <w:p>
      <w:r>
        <w:t xml:space="preserve">(1) Zur Wahrnehmung ihrer Aufgaben gemäß den Titeln II bis VI der vorliegenden Verordnung müssen die zuständigen Behörden gemäß dem nationalen Recht zumindest über die folgenden Aufsichts- und Untersuchungsbefugnisse verfügen:</w:t>
      </w:r>
    </w:p>
    <w:p>
      <w:r>
        <w:t xml:space="preserve">a) von jeder Person Informationen und Unterlagen zu verlangen, die nach Ansicht der zuständigen Behörden für die Ausführung ihrer Aufgaben von Belang sein könnten;</w:t>
      </w:r>
    </w:p>
    <w:p>
      <w:r>
        <w:t xml:space="preserve">b) die Erbringung von Kryptowerte-Dienstleistungen für jeweils höchstens 30 aufeinanderfolgende Arbeitstage auszusetzen oder von den betreffenden Anbietern von Kryptowerte-Dienstleistungen die Aussetzung der Kryptowerte-Dienstleistungen für jeweils höchstens 30 aufeinanderfolgende Arbeitstage zu verlangen, wenn ein hinreichend begründeter Verdacht besteht, dass gegen diese Verordnung verstoßen wurde;</w:t>
      </w:r>
    </w:p>
    <w:p>
      <w:r>
        <w:t xml:space="preserve">c) die Erbringung von Kryptowerte-Dienstleistungen zu untersagen, wenn sie feststellen, dass gegen diese Verordnung verstoßen wurde;</w:t>
      </w:r>
    </w:p>
    <w:p>
      <w:r>
        <w:t xml:space="preserve">d) zur Gewährleistung des Schutzes der Interessen der Kunden, insbesondere der Kleinanleger, oder des reibungslosen Funktionierens des Marktes alle wesentlichen Informationen, die die Erbringung der betreffenden Kryptowerte-Dienstleistungen beeinflussen könnten, bekannt zu machen oder vom Anbieter der Kryptowerte-Dienstleistungen die Bekanntmachung dieser Informationen zu verlangen;</w:t>
      </w:r>
    </w:p>
    <w:p>
      <w:r>
        <w:t xml:space="preserve">e) öffentlich bekannt zu machen, dass ein Anbieter von Kryptowerte-Dienstleistungen seinen Verpflichtungen nicht nachkommt;</w:t>
      </w:r>
    </w:p>
    <w:p>
      <w:r>
        <w:t xml:space="preserve">f) die Erbringung von Kryptowerte-Dienstleistungen auszusetzen oder von einem Anbieter von Kryptowerte-Dienstleistungen die Aussetzung der Kryptowerte-Dienstleistungen zu verlangen, wenn die zuständigen Behörden der Auffassung sind, dass die Erbringung der Kryptowerte-Dienstleistungen angesichts der Lage des Anbieters von Kryptowerte-Dienstleistungen den Interessen der Kunden, insbesondere der Kleinanleger, abträglich wäre;</w:t>
      </w:r>
    </w:p>
    <w:p>
      <w:r>
        <w:t xml:space="preserve">g) die Übertragung von bestehenden Verträgen vorbehaltlich der Zustimmung der Kunden und des Anbieters von Kryptowerte-Dienstleistungen, an den die Verträge übertragen werden sollen, auf einen anderen Anbieter von Kryptowerte-Dienstleistungen zu verlangen, falls dem Anbieter von Kryptowerte-Dienstleistungen nach Artikel 64 die Zulassung entzogen wurde;</w:t>
      </w:r>
    </w:p>
    <w:p>
      <w:r>
        <w:t xml:space="preserve">h) wenn Grund zu der Annahme besteht, dass Kryptowerte-Dienstleistungen ohne Zulassung erbracht werden, die sofortige Einstellung der Tätigkeit ohne vorherige Warnung oder Fristsetzung anzuordnen;</w:t>
      </w:r>
    </w:p>
    <w:p>
      <w:r>
        <w:t xml:space="preserve">i) von Anbietern, Personen, die die Zulassung von Kryptowerten zum Handel beantragen oder von Emittenten vermögenswertereferenzierter Token oder E-Geld-Token zu verlangen, ihr Kryptowerte-Whitepaper zu ändern oder ihr geändertes Kryptowerte-Whitepaper weiter zu ändern, wenn sie feststellen, dass das Kryptowerte-Whitepaper oder das geänderte Kryptowerte-Whitepaper nicht die nach den Artikeln 6, 19 oder 51 erforderlichen Informationen enthält;</w:t>
      </w:r>
    </w:p>
    <w:p>
      <w:r>
        <w:t xml:space="preserve">j) von Anbietern, Personen, die die Zulassung von Kryptowerten zum Handel beantragen, oder von Emittenten vermögenswertereferenzierter Token oder E-Geld-Token zu verlangen, ihre Marketingmitteilungen zu ändern, wenn sie feststellen, dass die Marketingmitteilungen nicht den Anforderungen der Artikel 7, 29 oder 53 der vorliegenden Verordnung entsprechen;</w:t>
      </w:r>
    </w:p>
    <w:p>
      <w:r>
        <w:t xml:space="preserve">k) von Anbietern, von Personen, die die Zulassung von Kryptowerten zum Handel beantragen, oder von Emittenten von vermögenswertereferenzierten Token und E-Geld-Token die Aufnahme zusätzlicher Informationen in ihre Kryptowerte-Whitepaper zu verlangen, wenn die Finanzstabilität oder der Schutz der Interessen der Inhaber von Kryptowerten, insbesondere der Kleinanleger, dies gebieten;</w:t>
      </w:r>
    </w:p>
    <w:p>
      <w:r>
        <w:t xml:space="preserve">l) ein öffentliches Angebot oder eine Zulassung von Kryptowerten zum Handel für jeweils höchstens 30 aufeinanderfolgende Arbeitstage auszusetzen, wenn ein hinreichend begründeter Verdacht besteht, dass gegen die Bestimmungen dieser Verordnung verstoßen wurde;</w:t>
      </w:r>
    </w:p>
    <w:p>
      <w:r>
        <w:t xml:space="preserve">m) ein öffentliches Angebot oder eine Zulassung von Kryptowerten zum Handel zu untersagen, wenn sie feststellen, dass gegen diese Verordnung verstoßen wurde, oder ein hinreichend begründeter Verdacht besteht, dass gegen diese Verordnung verstoßen würde;</w:t>
      </w:r>
    </w:p>
    <w:p>
      <w:r>
        <w:t xml:space="preserve">n) den Handel mit Kryptowerten für jeweils höchstens 30 aufeinanderfolgende Arbeitstage auszusetzen oder von einem Anbieter von Kryptowerte-Dienstleistungen, der eine Handelsplattform für Kryptowerte betreibt, die Aussetzung des Handels mit Kryptowerten für jeweils höchstens 30 aufeinanderfolgende Arbeitstage zu verlangen, wenn ein hinreichend begründeter Verdacht besteht, dass gegen diese Verordnung verstoßen wurde;</w:t>
      </w:r>
    </w:p>
    <w:p>
      <w:r>
        <w:t xml:space="preserve">o) den Handel mit Kryptowerten auf einer Handelsplattform für Kryptowerte zu untersagen, wenn sie feststellen, dass gegen diese Verordnung verstoßen wurde, oder ein hinreichend begründeter Verdacht besteht, dass gegen sie verstoßen werden wird;</w:t>
      </w:r>
    </w:p>
    <w:p>
      <w:r>
        <w:t xml:space="preserve">p) Marketingmitteilungen auszusetzen oder zu verbieten, wenn ein hinreichend begründeter Verdacht besteht, dass gegen diese Verordnung verstoßen wurde;</w:t>
      </w:r>
    </w:p>
    <w:p>
      <w:r>
        <w:t xml:space="preserve">q) Anbieter, Personen, die eine Zulassung von Kryptowerten zum Handel beantragen, Emittenten von vermögenswertereferenzierten Token oder E-Geld-Token oder entsprechende Anbieter von Kryptowerte-Dienstleistungen aufzufordern, die Marketingmitteilungen für maximal 30 aufeinanderfolgende Arbeitstage einzustellen oder auszusetzen, wenn der begründete Verdacht besteht, dass ein Verstoß gegen diese Verordnung vorliegt;</w:t>
      </w:r>
    </w:p>
    <w:p>
      <w:r>
        <w:t xml:space="preserve">r) öffentlich bekannt zu machen, dass ein Anbieter, eine Person, die die Zulassung eines Kryptowerts zum Handel beantragt oder ein Emittent eines vermögenswertereferenzierten Token oder E-Geld-Token seinen bzw. ihren Verpflichtungen nach dieser Verordnung nicht nachkommt;</w:t>
      </w:r>
    </w:p>
    <w:p>
      <w:r>
        <w:t xml:space="preserve">s) zur Wahrung des Schutzes der Interessen der Inhaber von Kryptowerten, insbesondere der Kleinanleger, oder eines reibungslosen Funktionierens des Marktes alle wesentlichen Informationen, die die Bewertung der öffentlich angebotenen oder zum Handel zugelassenen Kryptowerte beeinflussen könnten, offenzulegen oder eine derartige Offenlegung von einem Anbieter, einer Person, die die Zulassung eines Kryptowerts zum Handel beantragt, oder einem Emittenten eines vermögenswertereferenzierten Token oder E-Geld-Token zu verlangen;</w:t>
      </w:r>
    </w:p>
    <w:p>
      <w:r>
        <w:t xml:space="preserve">t) den Handel mit Kryptowerten auf einer Handelsplattform für Kryptowerte auszusetzen oder eine solche Aussetzung von dem betreffenden Anbieter von Kryptowerte-Dienstleistungen, der Kryptowerte-Dienstleistungen eine Handelsplattform für Kryptowerte betreibt, zu verlangen, wenn sie der Auffassung sind, dass der Handel angesichts der Lage des Anbieters, der Person, die die Zulassung eines Kryptowerts zum Handel beantragt, oder des Emittenten eines vermögenswertereferenzierten Token oder eines E-Geld-Token den Interessen der Inhaber von Kryptowerten, insbesondere der Kleinanleger, abträglich wäre;</w:t>
      </w:r>
    </w:p>
    <w:p>
      <w:r>
        <w:t xml:space="preserve">u) wenn Grund zu der Annahme besteht, dass vermögenswertereferenzierte Token oder E-Geld-Token ohne Zulassung ausgegeben werden oder die Zulassung zum Handel für andere Kryptowerte als vermögenswertereferenzierte Token oder E-Geld-Token ohne ein gemäß Artikel 8 übermitteltes Kryptowerte-Whitepaper angeboten oder beantragt wird, die sofortige Einstellung der Tätigkeit ohne vorherige Warnung oder Fristsetzung anzuordnen;</w:t>
      </w:r>
    </w:p>
    <w:p>
      <w:r>
        <w:t xml:space="preserve">v) jede Art von Maßnahmen zu ergreifen, um sicherzustellen, dass ein Anbietereine Personen, die die Zulassung von Kryptowerten zum Handel beantragt, die Emittenten eines vermögenswertereferenzierten Token oder eines E-Geld-Token oder ein Anbieter von Kryptowerte-Dienstleistungen diese Verordnung einhalten, wozu auch die vorübergehende Einstellung von Handlungen und Verhaltensweisen verlangt werden kann, die nach Auffassung der zuständigen Behörden gegen diese Verordnung verstoßen;</w:t>
      </w:r>
    </w:p>
    <w:p>
      <w:r>
        <w:t xml:space="preserve">w) Überprüfungen oder Untersuchungen vor Ort an anderen Standorten als den privaten Wohnräumen natürlicher Personen durchzuführen und zu jenem Zweck Zugang zu Räumlichkeiten zu erhalten, um Unterlagen und Daten gleich welcher Form einzusehen;</w:t>
      </w:r>
    </w:p>
    <w:p>
      <w:r>
        <w:t xml:space="preserve">x) Überprüfungen oder Untersuchungen an Wirtschaftsprüfer oder Sachverständige auszulagern;</w:t>
      </w:r>
    </w:p>
    <w:p>
      <w:r>
        <w:t xml:space="preserve">y) die Abberufung einer natürlichen Person aus dem Leitungsorgan eines Emittenten eines vermögenswertereferenzierten Token oder eines Anbieters von Kryptowerte-Dienstleistungen zu verlangen;</w:t>
      </w:r>
    </w:p>
    <w:p>
      <w:r>
        <w:t xml:space="preserve">z) jede Person aufzufordern, Maßnahmen zu ergreifen, um den Umfang ihrer Position oder ihrer Risikoposition in Bezug auf Kryptowerte zu verringern;</w:t>
      </w:r>
    </w:p>
    <w:p>
      <w:r>
        <w:t xml:space="preserve">aa) wenn keine anderen wirksamen Mittel zur Verfügung stehen, um die Einstellung des Verstoßes gegen diese Verordnung zu bewirken, und um das Risiko einer schwerwiegenden Schädigung der Interessen von Kunden oder von Inhabern von Kryptowerten zu verhindern, alle erforderlichen Maßnahmen, auch durch Aufforderung an Dritte oder Behörden, diese Maßnahmen durchzuführen, zu ergreifen, um</w:t>
      </w:r>
    </w:p>
    <w:p>
      <w:r>
        <w:t xml:space="preserve">i) Inhalte zu entfernen oder den Zugang zu einer Online-Schnittstelle zu beschränken oder anzuordnen, dass beim Zugriff auf die Online-Schnittstelle ein ausdrücklicher Warnhinweis angezeigt wird, der an die Kunden und Inhaber von Kryptowerten gerichtet ist,</w:t>
      </w:r>
    </w:p>
    <w:p>
      <w:r>
        <w:t xml:space="preserve">ii) anzuordnen, dass Hostingdiensteanbieter den Zugang zu einer Online-Schnittstelle entfernen, sperren oder beschränken oder</w:t>
      </w:r>
    </w:p>
    <w:p>
      <w:r>
        <w:t xml:space="preserve">iii) anzuordnen, dass Register oder Registrierungsstellen für Domänennamen einen vollständigen Domänennamen entfernen und der betreffenden zuständigen Behörde seine Registrierung zu gestatten;</w:t>
      </w:r>
    </w:p>
    <w:p>
      <w:r>
        <w:t xml:space="preserve">ab) von einem Emittenten von vermögenswertereferenzierten Token oder E-Geld-Token gemäß Artikel 23 Absatz 4, Artikel 24 Absatz 3 oder Artikel 58 Absatz 3 zu verlangen, dass er eine Mindeststückelung oder eine Obergrenze für das Ausgabevolumen einführt.</w:t>
      </w:r>
    </w:p>
    <w:p>
      <w:r>
        <w:t xml:space="preserve">(2) Die in Bezug auf die Anbieter, die Personen, die die Zulassung von Kryptowerten zum Handel beantragen, die Emittenten sowie die Anbieter von Kryptowerte-Dienstleistungen ausgeübten Aufsichts- und Untersuchungsbefugnisse lassen die Befugnisse, die denselben oder anderen Aufsichtsbehörden in Bezug auf diese Unternehmen übertragen werden, einschließlich der Befugnisse, die den jeweils zuständigen Behörden nach den Bestimmungen nationaler Rechtsvorschriften zur Umsetzung der Richtlinie 2009/110/EG übertragen werden, und die Aufsichtsbefugnisse, die der EZB im Rahmen der Verordnung (EU) Nr. 1024/2013 übertragen werden, unberührt.</w:t>
      </w:r>
    </w:p>
    <w:p>
      <w:r>
        <w:t xml:space="preserve">(3) Zur Wahrnehmung ihrer Aufgaben gemäß Titel VI müssen die zuständigen Behörden im Einklang mit dem nationalen Recht zusätzlich zu den in Absatz 1 genannten Befugnissen zumindest über die erforderlichen Aufsichts- und Untersuchungsbefugnisse verfügen, um</w:t>
      </w:r>
    </w:p>
    <w:p>
      <w:r>
        <w:t xml:space="preserve">a) auf Unterlagen und Daten jeglicher Form zuzugreifen und Kopien davon zu erhalten oder anzufertigen;</w:t>
      </w:r>
    </w:p>
    <w:p>
      <w:r>
        <w:t xml:space="preserve">b) von jeder Person, auch von solchen, die nacheinander an der Übermittlung von Aufträgen oder an der Ausführung der betreffenden Tätigkeiten beteiligt sind, sowie von deren Auftraggebern Auskünfte zu verlangen oder zu fordern und erforderlichenfalls zum Erhalt von Informationen eine Person vorzuladen und zu befragen;</w:t>
      </w:r>
    </w:p>
    <w:p>
      <w:r>
        <w:t xml:space="preserve">c) die Räumlichkeiten natürlicher und juristischer Personen zu betreten, um Unterlagen und Daten jeglicher Form zu beschlagnahmen, wenn der begründete Verdacht besteht, dass Unterlagen oder Daten, die sich auf den Gegenstand der Prüfung oder Untersuchung beziehen, für den Nachweis von Insidergeschäften oder Marktmanipulation relevant sein könnten;</w:t>
      </w:r>
    </w:p>
    <w:p>
      <w:r>
        <w:t xml:space="preserve">d) eine Sache zwecks strafrechtlicher Verfolgung zu verweisen;</w:t>
      </w:r>
    </w:p>
    <w:p>
      <w:r>
        <w:t xml:space="preserve">e) soweit dies nach nationalem Recht zulässig ist, bestehende Datenverkehrsaufzeichnungen im Besitz einer Telekommunikationsgesellschaft anzufordern, wenn der begründete Verdacht eines Verstoßes besteht und wenn diese Aufzeichnungen für die Untersuchung eines Verstoßes gegen die Artikel 88 bis 91 relevant sein könnten;</w:t>
      </w:r>
    </w:p>
    <w:p>
      <w:r>
        <w:t xml:space="preserve">f) das Einfrieren oder die Beschlagnahme von Vermögenswerten oder beides zu beantragen;</w:t>
      </w:r>
    </w:p>
    <w:p>
      <w:r>
        <w:t xml:space="preserve">g) ein vorübergehendes Berufsverbot zu verhängen;</w:t>
      </w:r>
    </w:p>
    <w:p>
      <w:r>
        <w:t xml:space="preserve">h) alle erforderlichen Maßnahmen zu ergreifen, damit die Öffentlichkeit ordnungsgemäß informiert wird, unter anderem durch die Richtigstellung falscher oder irreführender offengelegter Informationen, insbesondere auch, indem sie einen Anbieter, eine Person, die die Zulassung zum Handel beantragt, oder einen Emittenten oder eine andere Person, die falsche oder irreführende Informationen veröffentlicht oder verbreitet hat, verpflichten, eine Berichtigung zu veröffentlichen.</w:t>
      </w:r>
    </w:p>
    <w:p>
      <w:r>
        <w:t xml:space="preserve">(4) Sofern das nationale Recht dies erfordert, kann die zuständige Behörde das zuständige Gericht ersuchen, über die Ausübung der in den Absätzen 1 und 2 genannten Befugnisse zu entscheiden.</w:t>
      </w:r>
    </w:p>
    <w:p>
      <w:r>
        <w:t xml:space="preserve">(5) Die zuständigen Behörden nehmen die in den Absätzen 1 und 2 genannten Befugnisse auf eine der folgenden Arten wahr:</w:t>
      </w:r>
    </w:p>
    <w:p>
      <w:r>
        <w:t xml:space="preserve">a) unmittelbar;</w:t>
      </w:r>
    </w:p>
    <w:p>
      <w:r>
        <w:t xml:space="preserve">b) in Zusammenarbeit mit anderen Behörden, einschließlich der für die Verhinderung und Bekämpfung von Geldwäsche und Terrorismusfinanzierung zuständigen Behörden;</w:t>
      </w:r>
    </w:p>
    <w:p>
      <w:r>
        <w:t xml:space="preserve">c) unter eigener Verantwortung durch Befugnisübertragung an die unter Buchstabe b genannten Behörden;</w:t>
      </w:r>
    </w:p>
    <w:p>
      <w:r>
        <w:t xml:space="preserve">d) durch Antragstellung bei den zuständigen Gerichten.</w:t>
      </w:r>
    </w:p>
    <w:p>
      <w:r>
        <w:t xml:space="preserve">(6) Die Mitgliedstaaten stellen durch geeignete Maßnahmen sicher, dass die zuständigen Behörden die zur Wahrnehmung ihrer Aufgaben erforderlichen Aufsichts- und Untersuchungsbefugnisse wahrnehmen können.</w:t>
      </w:r>
    </w:p>
    <w:p>
      <w:r>
        <w:t xml:space="preserve">(7) Meldet eine Person der zuständigen Behörde gemäß dieser Verordnung Informationen, so gilt dies nicht als Verstoß gegen eine etwaige vertraglich oder durch Rechts- oder Verwaltungsvorschriften geregelte Einschränkung der Offenlegung von Informationen und hat keine diesbezügliche Haftung zur Folge.</w:t>
      </w:r>
    </w:p>
    <w:p>
      <w:r>
        <w:rPr>
          <w:color w:val="555555"/>
          <w:sz w:val="17"/>
        </w:rPr>
        <w:t xml:space="preserve">Zitiervorschlag: Art 94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