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92 MiCA — Vorbeugung und Aufdeckung von Marktmissbrauch</w:t>
      </w:r>
    </w:p>
    <w:p>
      <w:r>
        <w:rPr>
          <w:color w:val="555555"/>
          <w:sz w:val="18"/>
        </w:rPr>
        <w:t xml:space="preserve">MiCA</w:t>
      </w:r>
    </w:p>
    <w:p>
      <w:r>
        <w:rPr>
          <w:color w:val="555555"/>
          <w:sz w:val="18"/>
        </w:rPr>
        <w:t xml:space="preserve">Stand: 22.07.2026 (konsolidierte Textfassung, kein amtliches Inkrafttretensdatum)</w:t>
      </w:r>
    </w:p>
    <w:p>
      <w:r>
        <w:t xml:space="preserve">(1) Die zuständigen Behörden, denen verdächtige Aufträge oder Geschäfte gemeldet werden, übermitteln diese Informationen unverzüglich den zuständigen Behörden der betreffenden Handelsplattformen.</w:t>
      </w:r>
    </w:p>
    <w:p>
      <w:r>
        <w:t xml:space="preserve">(2) Die ESMA arbeitet Entwürfe technischer Regulierungsstandards aus, in denen Folgendes präzisiert wird:</w:t>
      </w:r>
    </w:p>
    <w:p>
      <w:r>
        <w:t xml:space="preserve">a) geeignete Vorkehrungen, Systeme und Verfahren mittels derer Personen die Anforderungen des Absatzes 1 einhalten können;</w:t>
      </w:r>
    </w:p>
    <w:p>
      <w:r>
        <w:t xml:space="preserve">b) der Mustertext, der von Personen zur Einhaltung des Absatzes 1 zu verwenden ist;</w:t>
      </w:r>
    </w:p>
    <w:p>
      <w:r>
        <w:t xml:space="preserve">c) für Fälle von grenzüberschreitendem Marktmissbrauch Verfahren für die Abstimmung zwischen den jeweils zuständigen Behörden bei der Aufdeckung von Marktmissbrauch und dessen Belegung mit Sanktionen. Die ESMA übermittelt der Kommission die in Unterabsatz 1 genannten Entwürfe technischer Regulierungsstandards spätestens am 30. Dezember 2024. Der Kommission wird die Befugnis übertragen, diese Verordnung durch die Annahme der in Unterabsatz 1 dieses Absatzes genannten technischen Regulierungsstandards gemäß den Artikeln 10 bis 14 der Verordnung (EU) Nr. 1095/2010 zu ergänzen.</w:t>
      </w:r>
    </w:p>
    <w:p>
      <w:r>
        <w:t xml:space="preserve">(3)</w:t>
      </w:r>
    </w:p>
    <w:p>
      <w:r>
        <w:rPr>
          <w:color w:val="555555"/>
          <w:sz w:val="17"/>
        </w:rPr>
        <w:t xml:space="preserve">Zitiervorschlag: Art 92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