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87 MiCA — Insiderinformationen</w:t>
      </w:r>
    </w:p>
    <w:p>
      <w:r>
        <w:rPr>
          <w:color w:val="555555"/>
          <w:sz w:val="18"/>
        </w:rPr>
        <w:t xml:space="preserve">MiCA</w:t>
      </w:r>
    </w:p>
    <w:p>
      <w:r>
        <w:rPr>
          <w:color w:val="555555"/>
          <w:sz w:val="18"/>
        </w:rPr>
        <w:t xml:space="preserve">Stand: 22.07.2026 (konsolidierte Textfassung, kein amtliches Inkrafttretensdatum)</w:t>
      </w:r>
    </w:p>
    <w:p>
      <w:r>
        <w:t xml:space="preserve">(1) Für die Zwecke dieser Verordnung umfasst der Begriff „Insiderinformationen“ folgende Arten von Informationen:</w:t>
      </w:r>
    </w:p>
    <w:p>
      <w:r>
        <w:t xml:space="preserve">a) nicht öffentlich bekannte präzise Informationen, die direkt oder indirekt einen oder mehrere Emittenten, Anbieter oder Personen, die die Zulassung zum Handel beantragen, oder einen oder mehrere Kryptowerte betreffen und die, wenn sie öffentlich bekannt würden, geeignet wären, den Kurs dieser Kryptowerte oder den Kurs eines damit verbundenen Kryptowerts erheblich zu beeinflussen;</w:t>
      </w:r>
    </w:p>
    <w:p>
      <w:r>
        <w:t xml:space="preserve">b) für Personen, die mit der Ausführung von Aufträgen über Kryptowerte für Kunden beauftragt sind, bezeichnet der Begriff auch präzise Informationen, die von einem Kunden mitgeteilt wurden und sich auf die noch nicht ausgeführten Aufträge des Kunden über Kryptowerte beziehen, die direkt oder indirekt einen oder mehrere Emittenten, Anbieter oder Personen, die die Zulassung von Kryptowerten zum Handel beantragen, oder einen oder mehrere Kryptowerte betreffen und die, wenn sie öffentlich bekannt würden, geeignet wären, den Kurs dieser Kryptowerte oder den Kurs eines damit verbundenen Kryptowerts erheblich zu beeinflussen.</w:t>
      </w:r>
    </w:p>
    <w:p>
      <w:r>
        <w:t xml:space="preserve">(2)</w:t>
      </w:r>
    </w:p>
    <w:p>
      <w:r>
        <w:t xml:space="preserve">(3)</w:t>
      </w:r>
    </w:p>
    <w:p>
      <w:r>
        <w:t xml:space="preserve">(4)</w:t>
      </w:r>
    </w:p>
    <w:p>
      <w:r>
        <w:rPr>
          <w:color w:val="555555"/>
          <w:sz w:val="17"/>
        </w:rPr>
        <w:t xml:space="preserve">Zitiervorschlag: Art 87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