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82 MiCA — Erbringung von Transferdienstleistungen für Kryptowerte für Kunden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Anbieter von Kryptowerte-Dienstleistungen, die Transferdienstleistungen für Kryptowerte für Kunden erbringen, müssen mit ihren Kunden eine Vereinbarung schließen, in der ihre Pflichten und Aufgaben festgelegt werden. Eine solche Vereinbarung muss zumindest Folgendes enthalten:</w:t>
      </w:r>
    </w:p>
    <w:p>
      <w:r>
        <w:t xml:space="preserve">a) die Identität der Vertragspartner,</w:t>
      </w:r>
    </w:p>
    <w:p>
      <w:r>
        <w:t xml:space="preserve">b) eine Beschreibung der Modalitäten der erbrachten Transferdienstleistung,</w:t>
      </w:r>
    </w:p>
    <w:p>
      <w:r>
        <w:t xml:space="preserve">c) eine Beschreibung der vom Anbieter von Kryptowerte-Dienstleistungen verwendeten Sicherheitssysteme,</w:t>
      </w:r>
    </w:p>
    <w:p>
      <w:r>
        <w:t xml:space="preserve">d) die vom Anbieter von Kryptowerte-Dienstleistungen erhobenen Gebühren und</w:t>
      </w:r>
    </w:p>
    <w:p>
      <w:r>
        <w:t xml:space="preserve">e) das anwendbare Recht.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82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