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81 MiCA — Beratung zu Kryptowerten Portfolioverwaltung von Kryptowerten</w:t>
      </w:r>
    </w:p>
    <w:p>
      <w:r>
        <w:rPr>
          <w:color w:val="555555"/>
          <w:sz w:val="18"/>
        </w:rPr>
        <w:t xml:space="preserve">MiCA</w:t>
      </w:r>
    </w:p>
    <w:p>
      <w:r>
        <w:rPr>
          <w:color w:val="555555"/>
          <w:sz w:val="18"/>
        </w:rPr>
        <w:t xml:space="preserve">Stand: 22.07.2026 (konsolidierte Textfassung, kein amtliches Inkrafttretensdatum)</w:t>
      </w:r>
    </w:p>
    <w:p>
      <w:r>
        <w:t xml:space="preserve">(1) Anbieter von Kryptowerte-Dienstleistungen, die eine Beratung zu Kryptowerten erbringen oder eine Portfolioverwaltung von Kryptowerten anbieten, beurteilen, ob die Kryptowerte-Dienstleistungen oder Kryptowerte für ihre Kunden oder potenziellen Kunden geeignet sind, und berücksichtigen dabei ihre Kenntnisse und Erfahrung mit Investitionen in Kryptowerte, ihre Anlageziele, einschließlich ihrer Risikotoleranz, und ihre finanziellen Verhältnisse, einschließlich ihrer Fähigkeit, Verluste zu tragen.</w:t>
      </w:r>
    </w:p>
    <w:p>
      <w:r>
        <w:t xml:space="preserve">(2) Anbieter von Kryptowerte-Dienstleistungen, die eine Beratung zu Kryptowerten erbringen, informieren potenzielle Kunden rechtzeitig vor dieser Beratung darüber, ob die Beratung</w:t>
      </w:r>
    </w:p>
    <w:p>
      <w:r>
        <w:t xml:space="preserve">a) unabhängig erbracht wird,</w:t>
      </w:r>
    </w:p>
    <w:p>
      <w:r>
        <w:t xml:space="preserve">b) auf einer umfangreichen oder einer eher beschränkten Analyse verschiedener Kryptowerte beruht und insbesondere auf Kryptowerte beschränkt ist, die von Rechtsträgern emittiert oder angeboten werden, die enge Verbindungen zum Anbieter von Kryptowerte-Dienstleistungen haben oder andere rechtliche oder wirtschaftliche Beziehungen, wie etwa Vertragsbeziehungen, zu diesem unterhalten, die die Unabhängigkeit der Beratung beeinträchtigen können.</w:t>
      </w:r>
    </w:p>
    <w:p>
      <w:r>
        <w:t xml:space="preserve">(3) Teilt ein Anbieter von Kryptowerte-Dienstleistungen, der eine Beratung zu Kryptowerten erbringt, dem potenziellen Kunden mit, dass die Beratung unabhängig erbracht wird, so</w:t>
      </w:r>
    </w:p>
    <w:p>
      <w:r>
        <w:t xml:space="preserve">a) bewertet er eine ausreichende Palette von auf dem Markt angebotenen Kryptowerten, die hinreichend divers sein müssen, damit die Anlageziele des Kunden in geeigneter Form erreicht werden können, und die nicht auf Kryptowerte beschränkt sein dürfen, die</w:t>
      </w:r>
    </w:p>
    <w:p>
      <w:r>
        <w:t xml:space="preserve">i) von diesem Anbieter von Kryptowerte-Dienstleistungen emittiert oder angeboten werden,</w:t>
      </w:r>
    </w:p>
    <w:p>
      <w:r>
        <w:t xml:space="preserve">ii) von Rechtsträgern emittiert oder angeboten werden, die enge Verbindungen zu diesem Anbieter von Kryptowerte-Dienstleistungen haben, oder</w:t>
      </w:r>
    </w:p>
    <w:p>
      <w:r>
        <w:t xml:space="preserve">iii) von anderen Rechtsträgern emittiert oder angeboten werden, zu denen dieser Anbieter von Kryptowerte-Dienstleistungen so enge rechtliche oder wirtschaftliche Beziehungen, wie etwa Vertragsbeziehungen, unterhält, dass das Risiko besteht, dass die Unabhängigkeit der Beratung beeinträchtigt wird,</w:t>
      </w:r>
    </w:p>
    <w:p>
      <w:r>
        <w:t xml:space="preserve">b) ist es ihm nicht gestattet, für die Erbringung der Dienstleistung für die Kunden Gebühren, Provisionen oder andere monetäre und nicht monetäre Vorteile anzunehmen oder zu behalten, die von einem Dritten oder einer im Namen eines Dritten handelnden Person gezahlt oder gewährt werden.</w:t>
      </w:r>
    </w:p>
    <w:p>
      <w:r>
        <w:t xml:space="preserve">Ungeachtet des Unterabsatzes 1 Buchstabe b sind geringfügige nichtmonetäre Vorteile, durch die die Qualität der einem Kunden erbrachten Kryptowerte-Dienstleistungen verbessert werden kann und die so geringfügig und so beschaffen sind, dass sie die Erfüllung der Pflicht eines Anbieters von Kryptowerte-Dienstleistungen, im besten Interesse seines Kunden zu handeln, nicht beeinträchtigen, zulässig, sofern sie dem Kunden eindeutig offengelegt werden.</w:t>
      </w:r>
    </w:p>
    <w:p>
      <w:r>
        <w:t xml:space="preserve">(4) Anbieter von Kryptowerte-Dienstleistungen, die eine Beratung zu Kryptowerten erbringen, stellen potenziellen Kunden auch Informationen zu sämtlichen Kosten und Nebenkosten zur Verfügung, einschließlich gegebenenfalls der Beratungskosten, der Kosten der dem Kunden empfohlenen oder an ihn vermarkteten Kryptowerte und der diesbezüglichen Zahlungsmöglichkeiten des Kunden sowie etwaiger Zahlungen durch Dritte.</w:t>
      </w:r>
    </w:p>
    <w:p>
      <w:r>
        <w:t xml:space="preserve">(5) Anbieter von Kryptowerte-Dienstleistungen, die eine Portfolioverwaltung von Kryptowerten anbieten, dürfen im Zusammenhang mit der Portfolioverwaltung von Kryptowerten für ihre Kunden keine Gebühren, Provisionen oder anderen monetären oder nichtmonetären Vorteile annehmen und behalten, die von Emittenten, Anbietern, Personen, die die Zulassung zum Handel beantragen, Dritten oder im Namen eines Dritten handelnden Personen gezahlt oder gewährt werden.</w:t>
      </w:r>
    </w:p>
    <w:p>
      <w:r>
        <w:t xml:space="preserve">(6) Teilt ein Anbieter von Kryptowerte-Dienstleistungen einem potenziellen Kunden mit, dass seine Beratung nicht unabhängig erbracht wird, darf er Anreize entgegennehmen, sofern die Zahlung oder der Vorteil</w:t>
      </w:r>
    </w:p>
    <w:p>
      <w:r>
        <w:t xml:space="preserve">a) dazu bestimmt ist, die Qualität der jeweiligen Dienstleistung für den Kunden zu verbessern, und</w:t>
      </w:r>
    </w:p>
    <w:p>
      <w:r>
        <w:t xml:space="preserve">b) die Erfüllung der Pflicht des Anbieters von Kryptowerte-Dienstleistungen, ehrlich, redlich und professionell sowie im bestmöglichen Interesse seiner Kunden zu handeln, nicht beeinträchtigt.</w:t>
      </w:r>
    </w:p>
    <w:p>
      <w:r>
        <w:t xml:space="preserve">Die Existenz, die Art und der Betrag der in Absatz 4 genannten Zahlung oder des dort genannten Vorteils oder — wenn der Betrag nicht feststellbar ist — die Methode für die Berechnung dieses Betrags werden dem Kunden vor Erbringung der betreffenden Kryptowerte-Dienstleistung in umfassender, zutreffender und verständlicher Weise unmissverständlich offengelegt.</w:t>
      </w:r>
    </w:p>
    <w:p>
      <w:r>
        <w:t xml:space="preserve">(7) Anbieter von Kryptowerte-Dienstleistungen, die eine Beratung zu Kryptowerten erbringen, stellen sicher, dass natürliche Personen, die in ihrem Namen eine Beratung zu Kryptowerten oder zu einer Kryptowerte-Dienstleistung anbieten oder einschlägige Informationen erteilen, über die erforderlichen Kenntnisse und Kompetenzen verfügen, um ihren Verpflichtungen nachzukommen. Die Mitgliedstaaten veröffentlichen die Kriterien, anhand derer diese Kenntnisse und Kompetenzen zu beurteilen sind.</w:t>
      </w:r>
    </w:p>
    <w:p>
      <w:r>
        <w:t xml:space="preserve">(8) Für die Zwecke der in Absatz 1 genannten Beurteilung der Eignung holen die Anbieter von Kryptowerte-Dienstleistungen, die eine Beratung zu Kryptowerten erbringen oder eine Portfolioverwaltung von Kryptowerten anbieten, von ihren Kunden oder potenziellen Kunden die erforderlichen Informationen über ihre Kenntnisse und Erfahrungen in Bezug auf Investitionen, auch in Kryptowerte, ihre Anlageziele, einschließlich ihrer Risikotoleranz, ihre Finanzlage, einschließlich ihrer Fähigkeit, Verluste zu tragen, und ihr grundlegendes Verständnis der mit dem Erwerb von Kryptowerten verbundenen Risiken ein, damit die Anbieter von Kryptowerte-Dienstleistungen Kunden oder potenziellen Kunden empfehlen können, ob die Kryptowerte für sie geeignet sind und insbesondere ihrer Risikotoleranz und ihrer Fähigkeit, Verluste zu tragen, entsprechen.</w:t>
      </w:r>
    </w:p>
    <w:p>
      <w:r>
        <w:t xml:space="preserve">(9) Anbieter von Kryptowerte-Dienstleistungen, die eine Beratung zu Kryptowerten erbringen oder eine Portfolioverwaltung von Kryptowerten anbieten, machen die Kunden und potenziellen Kunden darauf aufmerksam, dass</w:t>
      </w:r>
    </w:p>
    <w:p>
      <w:r>
        <w:t xml:space="preserve">a) der Wert von Kryptowerten schwanken kann,</w:t>
      </w:r>
    </w:p>
    <w:p>
      <w:r>
        <w:t xml:space="preserve">b) die Kryptowerte ihren Wert ganz oder teilweise verlieren können,</w:t>
      </w:r>
    </w:p>
    <w:p>
      <w:r>
        <w:t xml:space="preserve">c) die Kryptowerte möglicherweise nicht liquide sind,</w:t>
      </w:r>
    </w:p>
    <w:p>
      <w:r>
        <w:t xml:space="preserve">d) die Kryptowerte eventuell nicht unter die Systeme für die Entschädigung der Anleger gemäß der Richtlinie 97/9/EG fallen,</w:t>
      </w:r>
    </w:p>
    <w:p>
      <w:r>
        <w:t xml:space="preserve">e) die Kryptowerte nicht unter die Einlagensicherungssysteme gemäß der Richtlinie 2014/49/EU fallen.</w:t>
      </w:r>
    </w:p>
    <w:p>
      <w:r>
        <w:t xml:space="preserve">(10) Anbieter von Kryptowerte-Dienstleistungen, die eine Beratung zu Kryptowerten erbringen oder eine Portfolioverwaltung von Kryptowerten anbieten, müssen Strategien und Verfahren festlegen, aufrechterhalten und umsetzen, die es ihnen ermöglichen, alle für die in Absatz 1 genannte Beurteilung jedes Kunden erforderlichen Informationen zu sammeln und zu bewerten. Sie müssen alle angemessenen Schritte unternehmen, um sicherzustellen, dass die über ihre Kunden oder potenziellen Kunden gesammelten Informationen zuverlässig sind.</w:t>
      </w:r>
    </w:p>
    <w:p>
      <w:r>
        <w:t xml:space="preserve">(11) Wenn Kunden die gemäß Absatz 8 erforderlichen Informationen nicht bereitstellen, oder wenn Anbieter von Kryptowerte-Dienstleistungen, die eine Beratung zu Kryptowerten erbringen oder eine Portfolioverwaltung für Kryptowerte anbieten, zu der Auffassung gelangen, dass die Kryptowerte-Dienstleistungen oder Kryptowerte für ihre Kunden nicht geeignet sind, dürfen sie diese Kryptowerte-Dienstleistungen oder Kryptowerte nicht empfehlen und nicht mit der Portfolioverwaltung in Bezug auf diese Kryptowerte beginnen.</w:t>
      </w:r>
    </w:p>
    <w:p>
      <w:r>
        <w:t xml:space="preserve">(12) Anbieter von Kryptowerte-Dienstleistungen, die eine Beratung zu Kryptowerten erbringen oder eine Portfolioverwaltung von Kryptowerten anbieten, müssen für jeden Kunden die in Absatz 1 genannte Beurteilung der Eignung regelmäßig mindestens alle zwei Jahre nach der gemäß jenem Absatz vorgenommenen ersten Beurteilung überprüfen.</w:t>
      </w:r>
    </w:p>
    <w:p>
      <w:r>
        <w:t xml:space="preserve">(13) Sobald die Beurteilung der Eignung nach Absatz 1 oder deren Überprüfung nach Absatz 12 abgeschlossen ist, übermitteln die Anbieter von Kryptowerte-Dienstleistungen, die eine Beratung zu Kryptowerten erbringen, den Kunden einen Bericht über die Eignung, in dem die erteilte Beratung enthalten ist und dargelegt wird, wie diese Beratung den Präferenzen, Zielen und anderen Merkmalen der Kunden entspricht. Dieser Bericht wird in elektronischem Format erstellt und den Kunden in diesem Format übermittelt. Dieser Bericht enthält mindestens</w:t>
      </w:r>
    </w:p>
    <w:p>
      <w:r>
        <w:t xml:space="preserve">a) aktualisierte Informationen über die Beurteilung gemäß Absatz 1,</w:t>
      </w:r>
    </w:p>
    <w:p>
      <w:r>
        <w:t xml:space="preserve">b) einen Überblick über die geleistete Beratung.</w:t>
      </w:r>
    </w:p>
    <w:p>
      <w:r>
        <w:t xml:space="preserve">Aus dem in Unterabsatz 1 genannten Bericht über die Eignung geht eindeutig hervor, dass die Beratung auf den Kenntnissen und Erfahrungen des Kunden in Bezug auf Investitionen in Kryptowerte, den Anlagezielen des Kunden, seiner Risikotoleranz, seiner Finanzlage und seiner Fähigkeit, Verluste zu tragen, beruht.</w:t>
      </w:r>
    </w:p>
    <w:p>
      <w:r>
        <w:t xml:space="preserve">(14) Anbieter von Kryptowerte-Dienstleistungen, die eine Portfolioverwaltung von Kryptowerten anbieten, müssen ihren Kunden regelmäßig Erklärungen in elektronischem Format über die in ihrem Namen ausgeführten Tätigkeiten der Portfolioverwaltung bereitstellen. Diese regelmäßigen Erklärungen enthalten eine redliche und ausgewogene Überprüfung der ausgeführten Tätigkeiten und der Wertentwicklung des Portfolios während des Berichtszeitraums, eine aktualisierte Erklärung darüber, wie die ausgeführten Tätigkeiten den Präferenzen, Zielen und sonstigen Merkmalen des Kunden entsprechen, sowie aktualisierte Informationen über die Beurteilung der Eignung gemäß Absatz 1 oder deren Überprüfung nach Absatz 12.</w:t>
      </w:r>
    </w:p>
    <w:p>
      <w:r>
        <w:t xml:space="preserve">Die in Unterabsatz 1 des vorliegenden Absatzes genannte regelmäßige Erklärung wird alle drei Monate vorgelegt, es sei denn, der Kunde hat Zugang zu einem Online-System, auf dem aktuelle Bewertungen des Kundenportfolios und aktualisierte Informationen über die Beurteilung der Eignung nach Absatz 1 zugänglich sind, und der Anbieter von Kryptowerte-Dienstleistungen hat einen Nachweis darüber, dass der Kunde mindestens einmal im betreffenden Quartal auf eine Bewertung zugegriffen hat. Ein solches Online-System gilt als elektronisches Format.</w:t>
      </w:r>
    </w:p>
    <w:p>
      <w:r>
        <w:t xml:space="preserve">(15) Die ESMA gibt bis zum 30. Dezember 2024 Leitlinien gemäß Artikel 16 der Verordnung (EU) Nr. 1095/2010 heraus, in denen Folgendes präzisiert wird:</w:t>
      </w:r>
    </w:p>
    <w:p>
      <w:r>
        <w:t xml:space="preserve">a) die Kriterien für die Bewertung der Kenntnisse und Kompetenzen gemäß Absatz 7,</w:t>
      </w:r>
    </w:p>
    <w:p>
      <w:r>
        <w:t xml:space="preserve">b) die Informationen nach Absatz 8 und</w:t>
      </w:r>
    </w:p>
    <w:p>
      <w:r>
        <w:t xml:space="preserve">c) das Format der regelmäßigen Erklärung nach Absatz 14.</w:t>
      </w:r>
    </w:p>
    <w:p>
      <w:r>
        <w:rPr>
          <w:color w:val="555555"/>
          <w:sz w:val="17"/>
        </w:rPr>
        <w:t xml:space="preserve">Zitiervorschlag: Art 81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https://recht.nulegal.eu/gesetze/MiCA/81</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