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MiCA — Übermittlung des Kryptowerte-Whitepapers und der Marketingmitteilungen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Dem gemäß Absatz 1 übermittelten Kryptowerte-Whitepaper ist eine Erläuterung beizufügen, aus der hervorgeht, weshalb der im Kryptowerte-Whitepaper beschriebene Kryptowert nicht als Folgendes betrachtet werden sollte:</w:t>
      </w:r>
    </w:p>
    <w:p>
      <w:r>
        <w:t xml:space="preserve">a) als ein Kryptowert, der gemäß Artikel 2 Absatz 4 vom Anwendungsbereich dieser Verordnung ausgenommen ist;</w:t>
      </w:r>
    </w:p>
    <w:p>
      <w:r>
        <w:t xml:space="preserve">b) als ein E-Geld-Token oder</w:t>
      </w:r>
    </w:p>
    <w:p>
      <w:r>
        <w:t xml:space="preserve">c) als ein vermögenswertereferenzierter Token.</w:t>
      </w:r>
    </w:p>
    <w:p>
      <w:r>
        <w:t xml:space="preserve">(5)</w:t>
      </w:r>
    </w:p>
    <w:p>
      <w:r>
        <w:t xml:space="preserve">(6) Die zuständige Behörde des Herkunftsmitgliedstaats unterrichtet die zentrale Kontaktstelle der Aufnahmemitgliedstaaten über das geplante öffentliche Angebot oder die geplante Zulassung zum Handel und übermittelt das entsprechende Kryptowerte-Whitepaper innerhalb von fünf Arbeitstagen nach Erhalt der in Unterabsatz 1 genannten Liste der Aufnahmemitgliedstaaten.</w:t>
      </w:r>
    </w:p>
    <w:p>
      <w:r>
        <w:t xml:space="preserve">(7) Die ESMA stellt das Kryptowerte-Whitepaper gemäß Artikel 109 Absatz 2 ab dem Startdatum des öffentlichen Angebots oder der Zulassung zum Handel im Register zur Verfügung.</w:t>
      </w:r>
    </w:p>
    <w:p>
      <w:r>
        <w:rPr>
          <w:color w:val="555555"/>
          <w:sz w:val="17"/>
        </w:rPr>
        <w:t xml:space="preserve">Zitiervorschlag: Art 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