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77 MiCA</w:t>
      </w:r>
    </w:p>
    <w:p>
      <w:r>
        <w:rPr>
          <w:color w:val="555555"/>
          <w:sz w:val="18"/>
        </w:rPr>
        <w:t xml:space="preserve">MiCA</w:t>
      </w:r>
    </w:p>
    <w:p>
      <w:r>
        <w:rPr>
          <w:color w:val="555555"/>
          <w:sz w:val="18"/>
        </w:rPr>
        <w:t xml:space="preserve">Stand: 22.07.2026 (konsolidierte Textfassung, kein amtliches Inkrafttretensdatum)</w:t>
      </w:r>
    </w:p>
    <w:p>
      <w:r>
        <w:t xml:space="preserve">(1) Anbieter von Kryptowerte-Dienstleistungen, die Kryptowerte gegen einen Geldbetrag oder gegen andere Kryptowerte tauschen, verfolgen eine nichtdiskriminierende Geschäftspolitik, mit der insbesondere festgelegt wird, welche Art von Kunden sie akzeptieren und welche Bedingungen diese Kunden zu erfüllen haben.</w:t>
      </w:r>
    </w:p>
    <w:p>
      <w:r>
        <w:t xml:space="preserve">(2) Anbieter von Kryptowerte-Dienstleistungen, die Kryptowerte gegen einen Geldbetrag oder gegen andere Kryptowerte tauschen, veröffentlichen einen festen Preis der Kryptowerte oder eine Methode zur Bestimmung des Preises der Kryptowerte, die sie zum Tausch gegen einen Geldbetrag oder gegen andere Kryptowerte vorschlagen, sowie die von diesem Anbieter für Kryptowerte-Dienstleistungen festgelegte anzuwendende Obergrenze für den zu tauschenden Betrag.</w:t>
      </w:r>
    </w:p>
    <w:p>
      <w:r>
        <w:t xml:space="preserve">(3) Anbieter von Kryptowerte-Dienstleistungen, die Kryptowerte gegen einen Geldbetrag oder gegen andere Kryptowerte tauschen, führen Kundenaufträge zu den zum Zeitpunkt des endgültigen Tauschauftrags angezeigten Preisen aus. Die Anbieter von Kryptowerte-Dienstleistungen unterrichten ihre Kunden über die Voraussetzungen, unter denen ihr Auftrag als endgültig gilt.</w:t>
      </w:r>
    </w:p>
    <w:p>
      <w:r>
        <w:t xml:space="preserve">(4) Anbieter von Kryptowerte-Dienstleistungen, die Kryptowerte gegen einen Geldbetrag oder gegen andere Kryptowerte tauschen, veröffentlichen Informationen über die von ihnen abgeschlossenen Geschäfte, einschließlich Transaktionsvolumen und -preisen.</w:t>
      </w:r>
    </w:p>
    <w:p>
      <w:r>
        <w:rPr>
          <w:color w:val="555555"/>
          <w:sz w:val="17"/>
        </w:rPr>
        <w:t xml:space="preserve">Zitiervorschlag: Art 77 MiCA</w:t>
      </w:r>
    </w:p>
    <w:p>
      <w:r>
        <w:rPr>
          <w:color w:val="555555"/>
          <w:sz w:val="17"/>
        </w:rPr>
        <w:t xml:space="preserve">Quelle: EUR-Lex, abgerufen 25.08.2026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https://recht.nulegal.eu/gesetze/MiCA/77</w:t>
      </w:r>
    </w:p>
    <w:p>
      <w:r>
        <w:rPr>
          <w:color w:val="767676"/>
          <w:sz w:val="15"/>
        </w:rPr>
        <w:t xml:space="preserve">nu:legal · recht.nulegal.eu · Nicht-amtliche Lesefassung. Amtliche Fassung: eur-lex.europa.eu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