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76 MiCA — Betrieb einer Handelsplattform für Kryptowerte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Anbieter von Kryptowerte-Dienstleistungen, die eine Handelsplattform für Kryptowerte betreiben, legen klare und transparente Betriebsvorschriften für die Handelsplattform fest, halten diese aufrecht und wenden sie an. In diesen Betriebsvorschriften muss mindestens Folgendes festgelegt werden:</w:t>
      </w:r>
    </w:p>
    <w:p>
      <w:r>
        <w:t xml:space="preserve">a) Genehmigungsverfahren, einschließlich der Sorgfaltspflichten gegenüber Kunden, die dem vom Antragsteller ausgehenden Risiko der Geldwäsche oder Terrorismusfinanzierung gemäß der Richtlinie (EU) 2015/849 entsprechen und vor Zulassung von Kryptowerten an der Handelsplattform anzuwenden sind,</w:t>
      </w:r>
    </w:p>
    <w:p>
      <w:r>
        <w:t xml:space="preserve">b) gegebenenfalls Ausschlusskategorien hinsichtlich der Arten von Kryptowerten, die nicht zum Handel zugelassen werden,</w:t>
      </w:r>
    </w:p>
    <w:p>
      <w:r>
        <w:t xml:space="preserve">c) Strategien und Verfahren in Bezug auf etwaige Gebühren für die Zulassung zum Handel und deren Höhe,</w:t>
      </w:r>
    </w:p>
    <w:p>
      <w:r>
        <w:t xml:space="preserve">d) objektive, nichtdiskriminierende Vorschriften und verhältnismäßige Kriterien für die Teilnahme an den Handelstätigkeiten mit dem Ziel der Förderung eines redlichen und offenen Zugangs von Kunden, die Handel treiben wollen, zur Handelsplattform,</w:t>
      </w:r>
    </w:p>
    <w:p>
      <w:r>
        <w:t xml:space="preserve">e) ermessensunabhängige Regeln und Verfahren für die Sicherstellung eines redlichen und ordnungsgemäßen Handels sowie objektive Kriterien für die wirksame Ausführung von Aufträgen,</w:t>
      </w:r>
    </w:p>
    <w:p>
      <w:r>
        <w:t xml:space="preserve">f) Bedingungen zur Sicherstellung der Handelbarkeit von Kryptowerten, einschließlich Liquiditätsschwellen und periodischen Offenlegungspflichten,</w:t>
      </w:r>
    </w:p>
    <w:p>
      <w:r>
        <w:t xml:space="preserve">g) Bedingungen für die mögliche Aussetzung des Handels mit Kryptowerten,</w:t>
      </w:r>
    </w:p>
    <w:p>
      <w:r>
        <w:t xml:space="preserve">h) Verfahren zur Sicherstellung einer wirksamen Abrechnung sowohl von Kryptowerten als auch von Geldbeträgen. Für die Zwecke von Unterabsatz 1 Buchstabe a wird in den Betriebsvorschriften eindeutig festgelegt, dass Kryptowerte nicht zum Handel zugelassen werden, wenn in den von dieser Verordnung vorgeschriebenen Fällen kein entsprechendes Kryptowerte-Whitepaper veröffentlicht wurde.</w:t>
      </w:r>
    </w:p>
    <w:p>
      <w:r>
        <w:t xml:space="preserve">(2)</w:t>
      </w:r>
    </w:p>
    <w:p>
      <w:r>
        <w:t xml:space="preserve">(3)</w:t>
      </w:r>
    </w:p>
    <w:p>
      <w:r>
        <w:t xml:space="preserve">(4) Wird eine Handelsplattform für Kryptowerte in einem anderen Mitgliedstaat betrieben, werden die in Absatz 1 genannten Betriebsvorschriften in einer Amtssprache des Aufnahmemitgliedstaats oder in einer in der internationalen Finanzwelt gebräuchlichen Sprache abgefasst.</w:t>
      </w:r>
    </w:p>
    <w:p>
      <w:r>
        <w:t xml:space="preserve">(5)</w:t>
      </w:r>
    </w:p>
    <w:p>
      <w:r>
        <w:t xml:space="preserve">(6)</w:t>
      </w:r>
    </w:p>
    <w:p>
      <w:r>
        <w:t xml:space="preserve">(7) Anbieter von Kryptowerte-Dienstleistungen, die eine Handelsplattform für Kryptowerte betreiben, müssen über wirksame Systeme, Verfahren und Vorkehrungen verfügen, um sicherzustellen, dass ihre Handelssysteme</w:t>
      </w:r>
    </w:p>
    <w:p>
      <w:r>
        <w:t xml:space="preserve">a) widerstandsfähig sind,</w:t>
      </w:r>
    </w:p>
    <w:p>
      <w:r>
        <w:t xml:space="preserve">b) über ausreichende Kapazitäten verfügen, um Spitzenvolumina an Aufträgen und Mitteilungen zu bewältigen,</w:t>
      </w:r>
    </w:p>
    <w:p>
      <w:r>
        <w:t xml:space="preserve">c) in der Lage sind, unter extremen Stressbedingungen auf den Märkten einen ordnungsgemäßen Handel sicherzustellen,</w:t>
      </w:r>
    </w:p>
    <w:p>
      <w:r>
        <w:t xml:space="preserve">d) in der Lage sind, Aufträge abzulehnen, die vorab festgelegte Volumen- und Preisschwellen überschreiten oder eindeutig fehlerhaft sind,</w:t>
      </w:r>
    </w:p>
    <w:p>
      <w:r>
        <w:t xml:space="preserve">e) vollständig geprüft werden, um sicherzustellen, dass die Bedingungen gemäß den Buchstaben a bis d erfüllt sind,</w:t>
      </w:r>
    </w:p>
    <w:p>
      <w:r>
        <w:t xml:space="preserve">f) wirksamen Vorkehrungen zur Sicherstellung der Fortführung des Geschäftsbetriebs unterliegen, um im Falle eines Ausfalls des Handelssystems die Kontinuität ihrer Dienstleistungen sicherzustellen,</w:t>
      </w:r>
    </w:p>
    <w:p>
      <w:r>
        <w:t xml:space="preserve">g) in der Lage sind, Marktmissbrauch zu verhindern oder aufzudecken,</w:t>
      </w:r>
    </w:p>
    <w:p>
      <w:r>
        <w:t xml:space="preserve">h) hinreichend robust sind, um zu verhindern, dass sie zum Zwecke der Geldwäsche und der Terrorismusfinanzierung missbraucht werden.</w:t>
      </w:r>
    </w:p>
    <w:p>
      <w:r>
        <w:t xml:space="preserve">(8)</w:t>
      </w:r>
    </w:p>
    <w:p>
      <w:r>
        <w:t xml:space="preserve">(9)</w:t>
      </w:r>
    </w:p>
    <w:p>
      <w:r>
        <w:t xml:space="preserve">(10)</w:t>
      </w:r>
    </w:p>
    <w:p>
      <w:r>
        <w:t xml:space="preserve">(11)</w:t>
      </w:r>
    </w:p>
    <w:p>
      <w:r>
        <w:t xml:space="preserve">(12)</w:t>
      </w:r>
    </w:p>
    <w:p>
      <w:r>
        <w:t xml:space="preserve">(13)</w:t>
      </w:r>
    </w:p>
    <w:p>
      <w:r>
        <w:t xml:space="preserve">(14)</w:t>
      </w:r>
    </w:p>
    <w:p>
      <w:r>
        <w:t xml:space="preserve">(15)</w:t>
      </w:r>
    </w:p>
    <w:p>
      <w:r>
        <w:t xml:space="preserve">(16) Die ESMA arbeitet Entwürfe technischer Regulierungsstandards aus, in denen Folgendes präzisiert wird:</w:t>
      </w:r>
    </w:p>
    <w:p>
      <w:r>
        <w:t xml:space="preserve">a) die Art, in der Daten zur Transparenz, darunter der Grad der Aufschlüsselung der gemäß den Absätzen 1, 9 und 10 zu veröffentlichenden Daten, darzustellen sind,</w:t>
      </w:r>
    </w:p>
    <w:p>
      <w:r>
        <w:t xml:space="preserve">b) der Inhalt und das Format der Einträge in dem gemäß Absatz 15 zu führenden Auftragsbuch. Die ESMA übermittelt der Kommission die in Unterabsatz 1 genannten Entwürfe technischer Regulierungsstandards spätestens am 30. Juni 2024. Der Kommission wird die Befugnis übertragen, diese Verordnung durch Annahme der in Unterabsatz 1 dieses Absatzes genannten technischen Regulierungsstandards gemäß den Artikeln 10 bis 14 der Verordnung (EU) Nr. 1095/2010 zu ergänzen.</w:t>
      </w:r>
    </w:p>
    <w:p>
      <w:r>
        <w:rPr>
          <w:color w:val="555555"/>
          <w:sz w:val="17"/>
        </w:rPr>
        <w:t xml:space="preserve">Zitiervorschlag: Art 76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