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MiCA — Geordnete Abwicklung von Anbietern von Kryptowerte-Dienstleistungen</w:t>
      </w:r>
    </w:p>
    <w:p>
      <w:r>
        <w:rPr>
          <w:color w:val="555555"/>
          <w:sz w:val="18"/>
        </w:rPr>
        <w:t xml:space="preserve">MiCA</w:t>
      </w:r>
    </w:p>
    <w:p>
      <w:r>
        <w:rPr>
          <w:color w:val="555555"/>
          <w:sz w:val="18"/>
        </w:rPr>
        <w:t xml:space="preserve">Stand: 22.07.2026 (konsolidierte Textfassung, kein amtliches Inkrafttretensdatum)</w:t>
      </w:r>
    </w:p>
    <w:p>
      <w:r>
        <w:t xml:space="preserve">Anbieter von Kryptowerte-Dienstleistungen, die die in den Artikeln 75 bis 79 genannte Dienstleistungen erbringen, stellen einen angemessenen Plan zur Unterstützung einer geordneten Abwicklung ihrer Tätigkeiten nach geltendem nationalem Recht auf, der Vorkehrungen für die Fortführung oder Wiederaufnahme kritischer Tätigkeiten dieser Dienstleistungsanbieter umfasst. Dieser Plan muss belegen, dass Anbieter von Kryptowerte-Dienstleistungen zu einer geordneten Abwicklung in der Lage sind, die ihren Kunden keinen ungebührlichen wirtschaftlichen Schaden zufügt.</w:t>
      </w:r>
    </w:p>
    <w:p>
      <w:r>
        <w:rPr>
          <w:color w:val="555555"/>
          <w:sz w:val="17"/>
        </w:rPr>
        <w:t xml:space="preserve">Zitiervorschlag: Art 74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https://recht.nulegal.eu/gesetze/MiCA/74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