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72 MiCA</w:t>
      </w:r>
    </w:p>
    <w:p>
      <w:r>
        <w:rPr>
          <w:color w:val="555555"/>
          <w:sz w:val="18"/>
        </w:rPr>
        <w:t xml:space="preserve">MiCA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 Anbieter von Kryptowerte-Dienstleistungen entwickeln und verfolgen unter Berücksichtigung des Umfangs, der Art und der Bandbreite der erbrachten Kryptowerte-Dienstleistungen wirksame Strategien und Verfahren zur Ermittlung, Vermeidung, Regelung und Offenlegung von Interessenkonflikten zwischen</w:t>
      </w:r>
    </w:p>
    <w:p>
      <w:r>
        <w:t xml:space="preserve">a) ihnen und</w:t>
      </w:r>
    </w:p>
    <w:p>
      <w:r>
        <w:t xml:space="preserve">i) ihren Anteilseignern oder Gesellschaftern,</w:t>
      </w:r>
    </w:p>
    <w:p>
      <w:r>
        <w:t xml:space="preserve">ii) Personen, die durch Kontrolle eine direkte oder indirekte Verbindung zu den Anbietern von Kryptowerte-Dienstleistungen oder ihren Anteilseignern oder Gesellschaftern aufweisen,</w:t>
      </w:r>
    </w:p>
    <w:p>
      <w:r>
        <w:t xml:space="preserve">iii) den Mitgliedern ihrer Führungsgremien,</w:t>
      </w:r>
    </w:p>
    <w:p>
      <w:r>
        <w:t xml:space="preserve">iv) ihren Beschäftigten oder</w:t>
      </w:r>
    </w:p>
    <w:p>
      <w:r>
        <w:t xml:space="preserve">v) ihren Kunden oder</w:t>
      </w:r>
    </w:p>
    <w:p>
      <w:r>
        <w:t xml:space="preserve">b) zwei oder mehr Kunden, zwischen denen ein Interessenkonflikt besteht.</w:t>
      </w:r>
    </w:p>
    <w:p>
      <w:r>
        <w:t xml:space="preserve">(2) Die Anbieter von Kryptowerte-Dienstleistungen legen ihren Kunden und potenziellen Kunden an gut sichtbarer Stelle auf ihrer Website die allgemeine Art und die Quellen von Interessenkonflikten gemäß Absatz 1 sowie die zur Begrenzung dieser Interessenkonflikte getroffenen Vorkehrungen offen.</w:t>
      </w:r>
    </w:p>
    <w:p>
      <w:r>
        <w:t xml:space="preserve">(3) Die in Absatz 2 genannte Offenlegung muss in elektronischem Format erfolgen und je nach Status des Kunden hinreichend Details enthalten, um es jedem Kunden zu ermöglichen, Entscheidungen über die Kryptowerte-Dienstleistung, in deren Zusammenhang der Interessenkonflikt auftritt, in Kenntnis der Sachlage zu treffen.</w:t>
      </w:r>
    </w:p>
    <w:p>
      <w:r>
        <w:t xml:space="preserve">(4) Die Anbieter von Kryptowerte-Dienstleistungen bewerten und überprüfen zumindest einmal jährlich ihre Strategie für den Umgang mit Interessenkonflikten und ergreifen alle geeigneten Maßnahmen, um etwaige diesbezügliche Mängel zu beheben.</w:t>
      </w:r>
    </w:p>
    <w:p>
      <w:r>
        <w:t xml:space="preserve">(5) Die ESMA arbeitet in enger Abstimmung mit der EBA Entwürfe technischer Regulierungsstandards aus, in denen Folgendes präzisiert wird:</w:t>
      </w:r>
    </w:p>
    <w:p>
      <w:r>
        <w:t xml:space="preserve">a) die Anforderungen an die in Absatz 1 genannten Strategien und Verfahren, wobei Umfang, Art und Bandbreite der erbrachten Kryptowerte-Dienstleistungen zu berücksichtigen sind,</w:t>
      </w:r>
    </w:p>
    <w:p>
      <w:r>
        <w:t xml:space="preserve">b) die Einzelheiten und das Verfahren betreffend den Inhalt der Offenlegung nach Absatz 2.</w:t>
      </w:r>
    </w:p>
    <w:p>
      <w:r>
        <w:t xml:space="preserve">Die ESMA übermittelt der Kommission die in Unterabsatz 1 genannten Entwürfe technischer Regulierungsstandards spätestens am 30. Juni 2024.</w:t>
      </w:r>
    </w:p>
    <w:p>
      <w:r>
        <w:t xml:space="preserve">Der Kommission wird die Befugnis übertragen, diese Verordnung durch Annahme der in Unterabsatz 1 dieses Absatzes genannten technischen Regulierungsstandards gemäß den Artikeln 10 bis 14 der Verordnung (EU) Nr. 1095/2010 zu ergänzen.</w:t>
      </w:r>
    </w:p>
    <w:p>
      <w:r>
        <w:rPr>
          <w:color w:val="555555"/>
          <w:sz w:val="17"/>
        </w:rPr>
        <w:t xml:space="preserve">Zitiervorschlag: Art 72 MiCA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https://recht.nulegal.eu/gesetze/MiCA/72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