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MiCA — Beschwerdeverfahren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Anbieter von Kryptowerte-Dienstleistungen führen wirksame und transparente Verfahren für die umgehende, redliche und einheitliche Bearbeitung von Kundenbeschwerden ein, erhalten sie aufrecht und veröffentlichen Beschreibungen dieser Verfahren.</w:t>
      </w:r>
    </w:p>
    <w:p>
      <w:r>
        <w:t xml:space="preserve">(2) Die Kunden können Beschwerden bei den Anbietern von Kryptowerte-Dienstleistungen unentgeltlich einreichen.</w:t>
      </w:r>
    </w:p>
    <w:p>
      <w:r>
        <w:t xml:space="preserve">(3) Die Anbieter von Kryptowerte-Dienstleistungen unterrichten die Kunden über die Möglichkeit, eine Beschwerde einzureichen. Die Anbieter von Kryptowerte-Dienstleistungen stellen den Kunden ein Muster für die Einreichung von Beschwerden zur Verfügung und führen Aufzeichnungen über alle eingegangenen Beschwerden sowie die daraufhin getroffenen Maßnahmen.</w:t>
      </w:r>
    </w:p>
    <w:p>
      <w:r>
        <w:t xml:space="preserve">(4) Die Anbieter von Kryptowerte-Dienstleistungen sorgen für eine zeitnahe und redliche Untersuchung sämtlicher Beschwerden und teilen ihren Kunden die Ergebnisse ihrer Untersuchungen innerhalb eines angemessenen Zeitraums mit.</w:t>
      </w:r>
    </w:p>
    <w:p>
      <w:r>
        <w:t xml:space="preserve">(5) Die ESMA arbeitet in enger Abstimmung mit der EBA Entwürfe technischer Regulierungsstandards zur Präzisierung der Anforderungen, Muster und Verfahren für die Bearbeitung von Beschwerden aus.</w:t>
      </w:r>
    </w:p>
    <w:p>
      <w:r>
        <w:t xml:space="preserve">Die ESMA übermittelt der Kommission die in Unterabsatz 1 genannten Entwürfe technischer Regulierungsstandards spätestens am 30. Juni 2024.</w:t>
      </w:r>
    </w:p>
    <w:p>
      <w:r>
        <w:t xml:space="preserve">Der Kommission wird die Befugnis übertragen, diese Verordnung durch Annahme der in Unterabsatz 1 dieses Absatzes genannten technischen Regulierungsstandards gemäß den Artikeln 10 bis 14 der Verordnung (EU) Nr. 1095/2010 zu ergänzen.</w:t>
      </w:r>
    </w:p>
    <w:p>
      <w:r>
        <w:rPr>
          <w:color w:val="555555"/>
          <w:sz w:val="17"/>
        </w:rPr>
        <w:t xml:space="preserve">Zitiervorschlag: Art 71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https://recht.nulegal.eu/gesetze/MiCA/71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