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MiCA — Marketingmitteilungen</w:t>
      </w:r>
    </w:p>
    <w:p>
      <w:r>
        <w:rPr>
          <w:color w:val="555555"/>
          <w:sz w:val="18"/>
        </w:rPr>
        <w:t xml:space="preserve">MiCA</w:t>
      </w:r>
    </w:p>
    <w:p>
      <w:r>
        <w:rPr>
          <w:color w:val="555555"/>
          <w:sz w:val="18"/>
        </w:rPr>
        <w:t xml:space="preserve">Stand: 22.07.2026 (konsolidierte Textfassung, kein amtliches Inkrafttretensdatum)</w:t>
      </w:r>
    </w:p>
    <w:p>
      <w:r>
        <w:t xml:space="preserve">(1) Marketingmitteilungen zu einem öffentlichen Angebot eines anderen Kryptowerts als vermögenswertereferenzierten Token oder E-Geld-Token oder zur Zulassung eines solchen Kryptowerts zum Handel müssen alle folgenden Anforderungen erfüllen:</w:t>
      </w:r>
    </w:p>
    <w:p>
      <w:r>
        <w:t xml:space="preserve">a) Die Marketingmitteilungen sind eindeutig als solche erkennbar;</w:t>
      </w:r>
    </w:p>
    <w:p>
      <w:r>
        <w:t xml:space="preserve">b) die Informationen in den Marketingmitteilungen sind redlich und eindeutig und nicht irreführend;</w:t>
      </w:r>
    </w:p>
    <w:p>
      <w:r>
        <w:t xml:space="preserve">c) die Informationen in den Marketingmitteilungen stimmen mit den Informationen im Kryptowerte-Whitepaper überein, sofern ein solches Kryptowerte-Whitepaper gemäß Artikel 4 oder 5 erforderlich ist;</w:t>
      </w:r>
    </w:p>
    <w:p>
      <w:r>
        <w:t xml:space="preserve">d) in den Marketingmitteilungen wird eindeutig darauf hingewiesen, dass ein Kryptowerte-Whitepaper veröffentlicht wurde, und sie enthalten die Adresse der Website des Anbieters der betreffenden Kryptowerte, der Person, die die Zulassung solcher Kryptowerte zum Handel beantragt oder des Betreibers der Handelsplattform für den betreffenden Kryptowert sowie eine Telefonnummer und eine E-Mail-Adresse, über die diese Person kontaktiert werden kann;</w:t>
      </w:r>
    </w:p>
    <w:p>
      <w:r>
        <w:t xml:space="preserve">e) die Marketingmitteilungen enthalten die folgende eindeutige und deutlich erkennbare Erklärung:</w:t>
      </w:r>
    </w:p>
    <w:p>
      <w:r>
        <w:t xml:space="preserve">„Diese Kryptowert-Marketingmitteilung wurde von keiner zuständigen Behörde eines Mitgliedstaats der Europäischen Union geprüft oder genehmigt. Der Anbieter des Kryptowerts trägt die alleinige Verantwortung für den Inhalt dieser Kryptowert-Marketingmitteilung.“</w:t>
      </w:r>
    </w:p>
    <w:p>
      <w:r>
        <w:t xml:space="preserve">Wird die Marketingmitteilung von der Person, die die Zulassung zum Handel beantragt, oder von dem Betreiber einer Handelsplattform erstellt, so wird in die Erklärung gemäß Unterabsatz 1 Buchstabe e anstelle von „Anbieter“ auf die „Person, die die Zulassung zum Handel beantragt“ oder den „Betreiber der Handelsplattform“ Bezug genommen.</w:t>
      </w:r>
    </w:p>
    <w:p>
      <w:r>
        <w:t xml:space="preserve">(2) Ist ein Kryptowerte-Whitepaper gemäß Artikel 4 oder 5 erforderlich, so dürfen vor der Veröffentlichung des Kryptowerte-Whitepapers keine Marketingmitteilungen verbreitet werden. Die Möglichkeit des Anbieters, der Person, die die Zulassung zum Handel beantragt, oder des Betreibers einer Handelsplattform, Marktsondierungen durchzuführen, bleibt hiervon unberührt.</w:t>
      </w:r>
    </w:p>
    <w:p>
      <w:r>
        <w:t xml:space="preserve">(3) Die zuständige Behörde des Mitgliedstaats, in dem die Marketingmitteilungen verbreitet werden, ist befugt, die Einhaltung von Absatz 1 in Bezug auf diese Marketingmitteilungen zu prüfen.</w:t>
      </w:r>
    </w:p>
    <w:p>
      <w:r>
        <w:t xml:space="preserve">Erforderlichenfalls unterstützt die zuständige Behörde des Herkunftsmitgliedstaats die zuständige Behörde des Mitgliedstaats, in dem die Marketingmitteilungen verbreitet werden, bei der Beurteilung der Frage, ob die Marketingmitteilungen mit den Informationen im Kryptowerte-Whitepaper übereinstimmen.</w:t>
      </w:r>
    </w:p>
    <w:p>
      <w:r>
        <w:t xml:space="preserve">(4) Nutzt die zuständige Behörde eines Aufnahmemitgliedstaats zur Durchsetzung dieses Artikels eine der Aufsichts- und Ermittlungsbefugnisse gemäß Artikel 94, so ist dies unverzüglich der zuständigen Behörde des Herkunftsmitgliedstaats des Anbieters, der Person, die die Zulassung zum Handel beantragt, oder dem Betreiber der Handelsplattform für die Kryptowerte mitzuteilen.</w:t>
      </w:r>
    </w:p>
    <w:p>
      <w:r>
        <w:rPr>
          <w:color w:val="555555"/>
          <w:sz w:val="17"/>
        </w:rPr>
        <w:t xml:space="preserve">Zitiervorschlag: Art 7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