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MiCA — Unterrichtung der zuständigen Behörden</w:t>
      </w:r>
    </w:p>
    <w:p>
      <w:r>
        <w:rPr>
          <w:color w:val="555555"/>
          <w:sz w:val="18"/>
        </w:rPr>
        <w:t xml:space="preserve">MiCA</w:t>
      </w:r>
    </w:p>
    <w:p>
      <w:r>
        <w:rPr>
          <w:color w:val="555555"/>
          <w:sz w:val="18"/>
        </w:rPr>
        <w:t xml:space="preserve">Stand: 22.07.2026 (konsolidierte Textfassung, kein amtliches Inkrafttretensdatum)</w:t>
      </w:r>
    </w:p>
    <w:p>
      <w:r>
        <w:t xml:space="preserve">Die Anbieter von Kryptowerte-Dienstleistungen unterrichten die für sie zuständige Behörde unverzüglich über jede Änderung in ihrem Leitungsorgan, bevor etwaige neue Mitglieder ihre Tätigkeit aufnehmen, und stellen ihr alle Informationen zur Verfügung, die erforderlich sind, um die Einhaltung von Artikel 68 zu bewerten.</w:t>
      </w:r>
    </w:p>
    <w:p>
      <w:r>
        <w:rPr>
          <w:color w:val="555555"/>
          <w:sz w:val="17"/>
        </w:rPr>
        <w:t xml:space="preserve">Zitiervorschlag: Art 69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