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MiCA — Regelungen zur Unternehmensführung</w:t>
      </w:r>
    </w:p>
    <w:p>
      <w:r>
        <w:rPr>
          <w:color w:val="555555"/>
          <w:sz w:val="18"/>
        </w:rPr>
        <w:t xml:space="preserve">MiCA</w:t>
      </w:r>
    </w:p>
    <w:p>
      <w:r>
        <w:rPr>
          <w:color w:val="555555"/>
          <w:sz w:val="18"/>
        </w:rPr>
        <w:t xml:space="preserve">Stand: 22.07.2026 (konsolidierte Textfassung, kein amtliches Inkrafttretensdatum)</w:t>
      </w:r>
    </w:p>
    <w:p>
      <w:r>
        <w:t xml:space="preserve">(1) Die Mitglieder des Leitungsorgans von Anbietern von Kryptowerte-Dienstleistungen müssen ausreichend gut beleumundet sein und sowohl einzeln als auch gemeinsam über die angemessenen Kenntnisse, Fähigkeiten, Erfahrung verfügen, um ihre Aufgaben wahrnehmen zu können. Insbesondere dürfen die Mitglieder des Leitungsorgans von Anbietern von Kryptowerte-Dienstleistungen nicht für Straftaten im Zusammenhang mit Geldwäsche oder Terrorismusfinanzierung oder für andere Straftaten, die ihrem guten Leumund schaden würden, verurteilt worden sein. Sie müssen ferner nachweisen, dass sie in der Lage sind, ausreichend Zeit für die wirksame Wahrnehmung ihrer Aufgaben aufzuwenden.</w:t>
      </w:r>
    </w:p>
    <w:p>
      <w:r>
        <w:t xml:space="preserve">(2) Anteilseigner oder Gesellschafter, die direkt oder indirekt qualifizierte Beteiligungen an Anbietern von Kryptowerte-Dienstleistungen halten, müssen ausreichend gut beleumundet sein und dürfen insbesondere nicht für Straftaten im Zusammenhang mit Geldwäsche oder Terrorismusfinanzierung oder für andere Straftaten, die ihrem guten Leumund schaden würden, verurteilt worden sein.</w:t>
      </w:r>
    </w:p>
    <w:p>
      <w:r>
        <w:t xml:space="preserve">(3) Ist der Einfluss, den Anteilseigner oder Gesellschafter, die qualifizierte Beteiligungen an Anbietern von Kryptowerte-Dienstleistungen halten, direkt oder indirekt ausüben, der soliden und umsichtigen Geschäftsführung dieses Anbieters von Kryptowerte-Dienstleistungen voraussichtlich abträglich, so ergreifen die zuständigen Behörden geeignete Maßnahmen, um diesem Risiko zu begegnen.</w:t>
      </w:r>
    </w:p>
    <w:p>
      <w:r>
        <w:t xml:space="preserve">Diese Maßnahmen können Anträge auf richterliche Anordnungen, die Verhängung von Sanktionen gegen die Geschäftsführer und die Geschäftsführung oder die Aussetzung des Stimmrechts im Zusammenhang mit den Aktien und Anteilen umfassen, die von den Anteilseignern oder Gesellschaftern direkt oder indirekt gehalten werden, die qualifizierte Beteiligungen halten.</w:t>
      </w:r>
    </w:p>
    <w:p>
      <w:r>
        <w:t xml:space="preserve">(4) Die Anbieter von Kryptowerte-Dienstleistungen führen Strategien und Verfahren ein, die hinreichend wirksam sind, um die Einhaltung dieser Verordnung sicherzustellen.</w:t>
      </w:r>
    </w:p>
    <w:p>
      <w:r>
        <w:t xml:space="preserve">(5) Die Anbieter von Kryptowerte-Dienstleistungen beschäftigen Personal, das über die für die Wahrnehmung der ihnen übertragenen Aufgaben erforderlichen Kenntnisse, Fähigkeiten und Fachkenntnisse verfügt, wobei Umfang, Art und Bandbreite der erbrachten Kryptowerte-Dienstleistungen zu berücksichtigen sind.</w:t>
      </w:r>
    </w:p>
    <w:p>
      <w:r>
        <w:t xml:space="preserve">(6) Das Leitungsorgan der Anbieter von Kryptowerte-Dienstleistungen bewertet und überprüft regelmäßig die Wirksamkeit der Strategien und Verfahren, die zur Erfüllung der Kapitel 2 und 3 dieses Titels eingeführt wurden, und ergreift geeignete Maßnahmen zur Behebung etwaiger diesbezüglicher Mängel.</w:t>
      </w:r>
    </w:p>
    <w:p>
      <w:r>
        <w:t xml:space="preserve">(7) Die Anbieter von Kryptowerte-Dienstleistungen ergreifen alle angemessenen Maßnahmen, um für die Kontinuität und Regelmäßigkeit der Erbringung ihrer Kryptowerte-Dienstleistungen zu sorgen. Zu diesem Zweck setzen die Anbieter von Kryptowerte-Dienstleistungen angemessene und verhältnismäßige Ressourcen und Verfahren ein, einschließlich widerstandsfähiger und sicherer IKT-Systeme gemäß den Anforderungen der Verordnung (EU) 2022/2554.</w:t>
      </w:r>
    </w:p>
    <w:p>
      <w:r>
        <w:t xml:space="preserve">Die Anbieter von Kryptowerte-Dienstleistungen legen eine Strategie für die Fortführung des Geschäftsbetriebs fest, die IKT-Geschäftsfortführungspläne sowie IKT-Reaktions- und Wiederherstellungspläne gemäß den Artikeln 11 und 12 der Verordnung (EU) 2022/2554 umfasst, mit denen im Falle einer Unterbrechung ihrer IKT-Systeme und -Verfahren die Bewahrung wesentlicher Daten und Funktionen und die Aufrechterhaltung der Kryptowerte-Dienstleistungen oder, wenn dies nicht möglich ist, zeitnah die Wiederherstellung dieser Daten und Funktionen und die Wiederaufnahme der Kryptowerte-Dienstleistungen sichergestellt werden soll.</w:t>
      </w:r>
    </w:p>
    <w:p>
      <w:r>
        <w:t xml:space="preserve">(8) Die Anbieter von Kryptowerte-Dienstleistungen verfügen über Mechanismen, Systeme und Verfahren gemäß den Anforderungen der Verordnung (EU) 2022/2554 sowie über wirksame Verfahren und Vorkehrungen für die Risikobewertung, um den nationalen Rechtsvorschriften zur Umsetzung der Richtlinie (EU) 2015/849 nachzukommen. Sie überwachen und bewerten regelmäßig die Angemessenheit und Wirksamkeit dieser Mechanismen, Systeme und Verfahren, berücksichtigen dabei Umfang, Art und Bandbreite der erbrachten Kryptowerte-Dienstleistungen und ergreifen geeignete Maßnahmen zur Behebung etwaiger diesbezüglicher Mängel.</w:t>
      </w:r>
    </w:p>
    <w:p>
      <w:r>
        <w:t xml:space="preserve">Die Anbieter von Kryptowerte-Dienstleistungen richten Systeme und Verfahren ein, um die Verfügbarkeit, Authentizität, Integrität und Vertraulichkeit von Daten gemäß der Verordnung (EU) 2022/2554 zu schützen.</w:t>
      </w:r>
    </w:p>
    <w:p>
      <w:r>
        <w:t xml:space="preserve">(9) Die Anbieter von Kryptowerte-Dienstleistungen sorgen dafür, dass Aufzeichnungen über ihre sämtlichen Kryptowerte-Dienstleistungen, Tätigkeiten, Aufträge und Geschäfte geführt werden. Diese Aufzeichnungen müssen ausreichen, um den zuständigen Behörden die Wahrnehmung ihrer Aufsichtsaufgaben und die Ergreifung von Durchsetzungsmaßnahmen zu ermöglichen und sie insbesondere in die Lage zu versetzen, festzustellen, ob die Anbieter von Kryptowerte-Dienstleistungen alle Verpflichtungen erfüllen, einschließlich der Pflichten gegenüber Kunden oder potenziellen Kunden und der Pflichten zur Erhaltung der Integrität des Markts.</w:t>
      </w:r>
    </w:p>
    <w:p>
      <w:r>
        <w:t xml:space="preserve">Die im Einklang mit Unterabsatz 1 geführten Aufzeichnungen werden den Kunden auf Anfrage zur Verfügung gestellt und fünf Jahre lang aufbewahrt; wenn dies von der zuständigen Behörde vor Ablauf des Zeitraums von fünf Jahren verlangt wird, werden sie bis zu sieben Jahre lang aufbewahrt.</w:t>
      </w:r>
    </w:p>
    <w:p>
      <w:r>
        <w:t xml:space="preserve">(10) Die ESMA arbeitet Entwürfe technischer Regulierungsstandards aus, in denen Folgendes präzisiert wird:</w:t>
      </w:r>
    </w:p>
    <w:p>
      <w:r>
        <w:t xml:space="preserve">a) die in Absatz 7 genannten Maßnahmen zur Sicherstellung der Kontinuität und Regelmäßigkeit bei der Erbringung der Kryptowerte-Dienstleistungen,</w:t>
      </w:r>
    </w:p>
    <w:p>
      <w:r>
        <w:t xml:space="preserve">b) die in Absatz 9 genannten Aufzeichnungen über alle Kryptowerte-Dienstleistungen, Tätigkeiten, Aufträge und Geschäfte.</w:t>
      </w:r>
    </w:p>
    <w:p>
      <w:r>
        <w:t xml:space="preserve">Die ESMA übermittelt der Kommission die in Unterabsatz 1 genannten Entwürfe technischer Regulierungsstandards spätestens am 30. Juni 2024.</w:t>
      </w:r>
    </w:p>
    <w:p>
      <w:r>
        <w:t xml:space="preserve">Der Kommission wird die Befugnis übertragen, diese Verordnung durch Annahme der in Unterabsatz 1 dieses Absatzes genannten technischen Regulierungsstandards gemäß den Artikeln 10 bis 14 der Verordnung (EU) Nr. 1095/2010 zu ergänzen.</w:t>
      </w:r>
    </w:p>
    <w:p>
      <w:r>
        <w:rPr>
          <w:color w:val="555555"/>
          <w:sz w:val="17"/>
        </w:rPr>
        <w:t xml:space="preserve">Zitiervorschlag: Art 68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