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66 MiCA — Pflicht zu ehrlichem, redlichem und professionellem Handeln im besten Interesse der Kunden</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w:t>
      </w:r>
    </w:p>
    <w:p>
      <w:r>
        <w:t xml:space="preserve">(3) Beim Betrieb einer Handelsplattform für Kryptowerte, beim Tausch von Kryptowerten gegen einen Geldbetrag oder andere Kryptowerte, bei der Beratung zu Kryptowerten oder bei der Portfolioverwaltung von Kryptowerten stellen die Anbieter von Kryptowerte-Dienstleistungen ihren Kunden Hyperlinks zu allen Kryptowerte-Whitepapers für die Kryptowerte zur Verfügung, in Bezug auf die sie diese Dienstleistungen erbringen.</w:t>
      </w:r>
    </w:p>
    <w:p>
      <w:r>
        <w:t xml:space="preserve">(4)</w:t>
      </w:r>
    </w:p>
    <w:p>
      <w:r>
        <w:t xml:space="preserve">(5)</w:t>
      </w:r>
    </w:p>
    <w:p>
      <w:r>
        <w:t xml:space="preserve">(6) Bei der Ausarbeitung der in Unterabsatz 1 genannten Entwürfe technischer Regulierungsstandards berücksichtigt die ESMA die verschiedenen Arten von Konsensmechanismen, die bei der Validierung von Transaktionen mit Kryptowerten verwendet werden, deren Anreizstrukturen und die Nutzung von Energie, Energie aus erneuerbaren Quellen und natürlichen Ressourcen, die Erzeugung von Abfällen und die Treibhausgasemissionen. Die ESMA aktualisiert die technischen Regulierungsstandards unter Berücksichtigung rechtlicher und technischer Entwicklungen. Die ESMA übermittelt der Kommission die in Unterabsatz 1 genannten Entwürfe technischer Regulierungsstandards spätestens am 30. Juni 2024. Der Kommission wird die Befugnis übertragen, diese Verordnung durch Erlass der in Unterabsatz 1 des vorliegenden Absatzes genannten technischen Regulierungsstandards gemäß den Artikeln 10 bis 14 der Verordnung (EU) Nr. 1095/2010 zu ergänzen.</w:t>
      </w:r>
    </w:p>
    <w:p>
      <w:r>
        <w:rPr>
          <w:color w:val="555555"/>
          <w:sz w:val="17"/>
        </w:rPr>
        <w:t xml:space="preserve">Zitiervorschlag: Art 66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