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65 MiCA — Grenzüberschreitende Erbringung von Kryptowerte-Dienstleistungen</w:t>
      </w:r>
    </w:p>
    <w:p>
      <w:r>
        <w:rPr>
          <w:color w:val="555555"/>
          <w:sz w:val="18"/>
        </w:rPr>
        <w:t xml:space="preserve">MiCA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(1) Ein Anbieter von Kryptowerte-Dienstleistungen, der beabsichtigt, Kryptowerte-Dienstleistungen in mehr als einem Mitgliedstaat zu erbringen, übermitteln der zuständigen Behörde des Herkunftsmitgliedstaats die folgenden Informationen:</w:t>
      </w:r>
    </w:p>
    <w:p>
      <w:r>
        <w:t xml:space="preserve">a) eine Liste der Mitgliedstaaten, in denen der Anbieter von Kryptowerte-Dienstleistungen beabsichtigt, Kryptowerte-Dienstleistungen zu erbringen;</w:t>
      </w:r>
    </w:p>
    <w:p>
      <w:r>
        <w:t xml:space="preserve">b) die Kryptowerte-Dienstleistungen, die der Anbieter von Kryptowerte-Dienstleistungen grenzüberschreitend zu erbringen beabsichtigt;</w:t>
      </w:r>
    </w:p>
    <w:p>
      <w:r>
        <w:t xml:space="preserve">c) das Startdatum für die beabsichtigte Erbringung der Kryptowerte-Dienstleistungen;</w:t>
      </w:r>
    </w:p>
    <w:p>
      <w:r>
        <w:t xml:space="preserve">d) eine Liste aller sonstigen Tätigkeiten des Anbieters von Kryptowerte-Dienstleistungen, die nicht unter diese Verordnung fallen.</w:t>
      </w:r>
    </w:p>
    <w:p>
      <w:r>
        <w:t xml:space="preserve">(2) Die zuständige Behörde des Herkunftsmitgliedstaats teilt die in Absatz 1 genannten Informationen innerhalb von zehn Arbeitstagen nach deren Eingang den zentralen Kontaktstellen der Aufnahmemitgliedstaaten, der ESMA und der EBA mit.</w:t>
      </w:r>
    </w:p>
    <w:p>
      <w:r>
        <w:t xml:space="preserve">(3) Die zuständige Behörde des Mitgliedstaats, der die Zulassung erteilt hat, unterrichtet den betreffenden Anbieter von Kryptowerte-Dienstleistungen unverzüglich über die in Absatz 2 genannte Mitteilung.</w:t>
      </w:r>
    </w:p>
    <w:p>
      <w:r>
        <w:t xml:space="preserve">(4) Der Anbieter von Kryptowerte-Dienstleistungen kann ab dem Tag des Eingangs der in Absatz 3 genannten Mitteilung, spätestens aber ab dem15. Kalendertag nach Vorlage der in Absatz 1 genannten Informationen mit der Erbringung von Kryptowerte-Dienstleistungen in einem anderen Mitgliedstaat als ihrem Herkunftsmitgliedstaat beginnen.</w:t>
      </w:r>
    </w:p>
    <w:p>
      <w:r>
        <w:rPr>
          <w:color w:val="555555"/>
          <w:sz w:val="17"/>
        </w:rPr>
        <w:t xml:space="preserve">Zitiervorschlag: Art 65 MiCA</w:t>
      </w:r>
    </w:p>
    <w:p>
      <w:r>
        <w:rPr>
          <w:color w:val="555555"/>
          <w:sz w:val="17"/>
        </w:rPr>
        <w:t xml:space="preserve">Quelle: EUR-Lex, abgerufen 25.08.2026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https://recht.nulegal.eu/gesetze/MiCA/65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