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64 MiCA — Entzug der Zulassung eines Anbieters von Kryptowerte-Dienstleistungen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zuständigen Behörden entziehen einem Anbieter von Kryptowerte-Dienstleistungen die Zulassung, falls er</w:t>
      </w:r>
    </w:p>
    <w:p>
      <w:r>
        <w:t xml:space="preserve">a) seine Zulassung innerhalb von zwölf Monaten nach dem Tag ihrer Erteilung nicht in Anspruch genommen hat;</w:t>
      </w:r>
    </w:p>
    <w:p>
      <w:r>
        <w:t xml:space="preserve">b) ausdrücklich auf seine Zulassung verzichtet;</w:t>
      </w:r>
    </w:p>
    <w:p>
      <w:r>
        <w:t xml:space="preserve">c) neun aufeinanderfolgende Monate lang keine Kryptowerte-Dienstleistungen erbracht hat;</w:t>
      </w:r>
    </w:p>
    <w:p>
      <w:r>
        <w:t xml:space="preserve">d) die Zulassung auf rechtswidrige Weise, etwa durch Falschangaben in seinem Zulassungsantrag, erlangt hat;</w:t>
      </w:r>
    </w:p>
    <w:p>
      <w:r>
        <w:t xml:space="preserve">e) nicht mehr die Voraussetzungen erfüllt, unter denen die Zulassung erteilt wurde, und die von der zuständigen Behörde geforderten Abhilfemaßnahmen nicht innerhalb der gesetzten Frist getroffen hat;</w:t>
      </w:r>
    </w:p>
    <w:p>
      <w:r>
        <w:t xml:space="preserve">f) nicht über Systeme, Verfahren und Vorkehrungen verfügt, mit denen Geldwäsche und Terrorismusfinanzierung gemäß der Richtlinie (EU) 2015/849 aufgedeckt und verhindert werden;</w:t>
      </w:r>
    </w:p>
    <w:p>
      <w:r>
        <w:t xml:space="preserve">g) in schwerwiegender Weise gegen diese Verordnung verstoßen hat, etwa auch gegen die Bestimmungen über den Schutz der Inhaber von Kryptowerten, der Kunden von Anbietern von Kryptowerte-Dienstleistungen oder der Marktintegrität.</w:t>
      </w:r>
    </w:p>
    <w:p>
      <w:r>
        <w:t xml:space="preserve">(2) Die zuständigen Behörden sind ferner befugt, in folgenden Fällen die Zulassung als Anbieter von Kryptowerte-Dienstleistungen zu entziehen:</w:t>
      </w:r>
    </w:p>
    <w:p>
      <w:r>
        <w:t xml:space="preserve">a) Der Anbieter von Kryptowerte-Dienstleistungen hat gegen nationale Rechtsvorschriften zur Umsetzung der Richtlinie (EU) 2015/849 verstoßen;</w:t>
      </w:r>
    </w:p>
    <w:p>
      <w:r>
        <w:t xml:space="preserve">b) der Anbieter von Kryptowerte-Dienstleistungen hat seine Zulassung als Zahlungsinstitut oder als E-Geld-Institut verloren und er hat es versäumt, innerhalb von 40 Kalendertagen Abhilfe zu schaffen.</w:t>
      </w:r>
    </w:p>
    <w:p>
      <w:r>
        <w:t xml:space="preserve">(3)</w:t>
      </w:r>
    </w:p>
    <w:p>
      <w:r>
        <w:t xml:space="preserve">(4)</w:t>
      </w:r>
    </w:p>
    <w:p>
      <w:r>
        <w:t xml:space="preserve">(5) Vor dem Entzug einer Zulassung als Anbieter von Kryptowerte-Dienstleistungen konsultieren die zuständigen Behörden die zuständige Behörde eines anderen Mitgliedstaats, wenn der betreffende Anbieter von Kryptowerte-Dienstleistungen</w:t>
      </w:r>
    </w:p>
    <w:p>
      <w:r>
        <w:t xml:space="preserve">a) ein Tochterunternehmen eines in diesem anderen Mitgliedstaat zugelassenen Anbieters von Kryptowerte-Dienstleistungen ist;</w:t>
      </w:r>
    </w:p>
    <w:p>
      <w:r>
        <w:t xml:space="preserve">b) ein Tochterunternehmen des Mutterunternehmens eines in diesem anderen Mitgliedstaat zugelassenen Anbieters von Kryptowerte-Dienstleistungen ist;</w:t>
      </w:r>
    </w:p>
    <w:p>
      <w:r>
        <w:t xml:space="preserve">c) durch die gleichen natürlichen oder juristischen Personen kontrolliert wird wie ein in diesem anderen Mitgliedstaat zugelassener Anbieter von Kryptowerte-Dienstleistungen.</w:t>
      </w:r>
    </w:p>
    <w:p>
      <w:r>
        <w:t xml:space="preserve">(6)</w:t>
      </w:r>
    </w:p>
    <w:p>
      <w:r>
        <w:t xml:space="preserve">(7)</w:t>
      </w:r>
    </w:p>
    <w:p>
      <w:r>
        <w:t xml:space="preserve">(8)</w:t>
      </w:r>
    </w:p>
    <w:p>
      <w:r>
        <w:rPr>
          <w:color w:val="555555"/>
          <w:sz w:val="17"/>
        </w:rPr>
        <w:t xml:space="preserve">Zitiervorschlag: Art 64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