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60 MiCA — Erbringung von Kryptowerte-Dienstleistungen durch bestimmte Finanzunternehmen</w:t>
      </w:r>
    </w:p>
    <w:p>
      <w:r>
        <w:rPr>
          <w:color w:val="555555"/>
          <w:sz w:val="18"/>
        </w:rPr>
        <w:t xml:space="preserve">MiCA</w:t>
      </w:r>
    </w:p>
    <w:p>
      <w:r>
        <w:rPr>
          <w:color w:val="555555"/>
          <w:sz w:val="18"/>
        </w:rPr>
        <w:t xml:space="preserve">Stand: 22.07.2026 (konsolidierte Textfassung, kein amtliches Inkrafttretensdatum)</w:t>
      </w:r>
    </w:p>
    <w:p>
      <w:r>
        <w:t xml:space="preserve">(1) Ein Kreditinstitut darf Kryptowerte-Dienstleistungen erbringen, wenn es der zuständigen Behörde seines Herkunftsmitgliedstaats spätestens 40 Arbeitstage vor der erstmaligen Erbringung dieser Dienstleistungen die in Absatz 7 genannten Informationen übermittelt.</w:t>
      </w:r>
    </w:p>
    <w:p>
      <w:r>
        <w:t xml:space="preserve">(2) Ein gemäß der Verordnung (EU) Nr. 909/2014 des Europäischen Parlaments und des Rates ( 19 ) zugelassener Zentralverwahrer darf Kryptowerte für Kunden nur dann verwahren und verwalten, wenn er der zuständigen Behörde seines Herkunftsmitgliedstaats spätestens 40 Arbeitstage vor der erstmaligen Erbringung dieser Dienstleistungen die in Absatz 7 genannten Informationen übermittelt.</w:t>
      </w:r>
    </w:p>
    <w:p>
      <w:r>
        <w:t xml:space="preserve">Für die Zwecke von Unterabsatz 1 gilt die Verwahrung und Verwaltung von Kryptowerten für Kunden als dem Angebot, der Führung oder dem Betrieb von Depotkonten in Bezug auf die in Abschnitt B Nummer 3 des Anhangs der Verordnung (EU) Nr. 909/2014 genannte Abwicklungsdienstleistung gleichwertig.</w:t>
      </w:r>
    </w:p>
    <w:p>
      <w:r>
        <w:t xml:space="preserve">(3) Eine Wertpapierfirma darf in der Union Kryptowerte-Dienstleistungen, die den Wertpapierdienstleistungen und Anlagetätigkeiten gleichwertig sind, für die sie nach der Richtlinie 2014/65/EU eigens zugelassen ist, erbringen, wenn sie der zuständigen Behörde des Herkunftsmitgliedstaats spätestens 40 Arbeitstage vor der erstmaligen Erbringung dieser Dienstleistungen die in Absatz 7 des vorliegenden Artikels angegebenen Informationen übermittelt.</w:t>
      </w:r>
    </w:p>
    <w:p>
      <w:r>
        <w:t xml:space="preserve">Für die Zwecke dieses Absatzes</w:t>
      </w:r>
    </w:p>
    <w:p>
      <w:r>
        <w:t xml:space="preserve">a) gelten die Verwahrung und Verwaltung von Kryptowerten für Kunden als den in Anhang I Abschnitt B Nummer 1 der Richtlinie 2014/65/EU genannten verbundenen Dienstleistungen gleichwertig;</w:t>
      </w:r>
    </w:p>
    <w:p>
      <w:r>
        <w:t xml:space="preserve">b) gilt der Betrieb einer Handelsplattform für Kryptowerte als dem in Anhang I Abschnitt A Nummern 8 und 9 der Richtlinie 2014/65/EU genannten Betrieb eines multilateralen Handelssystems bzw. Betrieb eines organisierten Handelssystems gleichwertig;</w:t>
      </w:r>
    </w:p>
    <w:p>
      <w:r>
        <w:t xml:space="preserve">c) gilt der Tausch von Kryptowerten gegen einen Geldbetrag oder andere Kryptowerte als dem in Anhang I Abschnitt A Nummer 3 der Richtlinie 2014/65/EU genannten Handel für eigene Rechnung gleichwertig;</w:t>
      </w:r>
    </w:p>
    <w:p>
      <w:r>
        <w:t xml:space="preserve">d) gilt die Ausführung von Aufträgen über Kryptowerte für Kunden als der in Anhang I Abschnitt A Nummer 2 der Richtlinie 2014/65/EU genannten Ausführung von Aufträgen im Namen von Kunden gleichwertig;</w:t>
      </w:r>
    </w:p>
    <w:p>
      <w:r>
        <w:t xml:space="preserve">e) gilt die Platzierung von Kryptowerten als der in Anhang I Abschnitt A Nummern 6 und 7 der Richtlinie 2014/65/EU genannten Übernahme oder Platzierung von Finanzinstrumenten mit fester Übernahmeverpflichtung bzw. Platzierung von Finanzinstrumenten ohne feste Übernahmeverpflichtung gleichwertig;</w:t>
      </w:r>
    </w:p>
    <w:p>
      <w:r>
        <w:t xml:space="preserve">f) gelten die Annahme und Übermittlung von Aufträgen über Kryptowerte für Kunden als der in Anhang I Abschnitt A Nummer 1 der Richtlinie 2014/65/EU genannten Annahme und Übermittlung von Aufträgen über ein oder mehrere Finanzinstrumente gleichwertig;</w:t>
      </w:r>
    </w:p>
    <w:p>
      <w:r>
        <w:t xml:space="preserve">g) gilt die Beratung zu Kryptowerten als der in Anhang I Abschnitt A Nummer 5 der Richtlinie 2014/65/EU genannten Anlageberatung gleichwertig;</w:t>
      </w:r>
    </w:p>
    <w:p>
      <w:r>
        <w:t xml:space="preserve">h) gilt die Portfolioverwaltung von Kryptowerten als der in Anhang I Abschnitt A Nummer 4 der Richtlinie 2014/65/EU genannten Portfolioverwaltung gleichwertig.</w:t>
      </w:r>
    </w:p>
    <w:p>
      <w:r>
        <w:t xml:space="preserve">(4) Ein gemäß der Richtlinie 2009/110/EG zugelassenes E-Geld-Institut darf im Hinblick auf die von ihm ausgegebenen E-Geld-Token die Verwahrung und Verwaltung von Kryptowerten im Namen von Kunden und Transferdienstleistungen für Kryptowerte im Namen von Kunden erbringen, wenn es der zuständigen Behörde des Herkunftsmitgliedstaats spätestens 40 Arbeitstage vor der erstmaligen Erbringung dieser Dienstleistungen die in Absatz 7 des vorliegenden Artikels genannten Informationen übermittelt.</w:t>
      </w:r>
    </w:p>
    <w:p>
      <w:r>
        <w:t xml:space="preserve">(5) Eine OGAW-Verwaltungsgesellschaft oder ein Verwalter alternativer Investmentfonds darf Kryptowerte-Dienstleistungen, die der individuellen Verwaltung einzelner Portfolios und den Nebendienstleistungen gleichwertig sind, für die sie bzw. er nach der Richtlinie 2009/65/EG bzw. der Richtlinie 2011/61/EU zugelassen ist, erbringen, wenn sie bzw. er der zuständigen Behörde des Herkunftsmitgliedstaats spätestens 40 Arbeitstage vor der erstmaligen Erbringung dieser Dienstleistungen die in Absatz 7 des vorliegenden Artikels genannten Informationen übermittelt.</w:t>
      </w:r>
    </w:p>
    <w:p>
      <w:r>
        <w:t xml:space="preserve">Für die Zwecke dieses Absatzes</w:t>
      </w:r>
    </w:p>
    <w:p>
      <w:r>
        <w:t xml:space="preserve">a) gelten die Annahme und Übermittlung von Aufträgen über Kryptowerte für Kunden als der in Artikel 6 Absatz 4 Buchstabe b Ziffer iii der Richtlinie 2011/61/EU genannten Annahme und Übermittlung von Aufträgen über Finanzinstrumente gleichwertig;</w:t>
      </w:r>
    </w:p>
    <w:p>
      <w:r>
        <w:t xml:space="preserve">b) gilt die Beratung zu Kryptowerten als der in Artikel 6 Absatz 4 Buchstabe b Ziffer i der Richtlinie 2011/61/EU und in Artikel 6 Absatz 3 Buchstabe b Ziffer i der Richtlinie 2009/65/EG genannten Anlageberatung gleichwertig;</w:t>
      </w:r>
    </w:p>
    <w:p>
      <w:r>
        <w:t xml:space="preserve">c) gilt die Portfolioverwaltung von Kryptowerten als der in Artikel 6 Absatz 4 Buchstabe a der Richtlinie 2011/61/EU und in Artikel 6 Absatz 3 Buchstabe a der Richtlinie 2009/65/EG genannten Portfolioverwaltung gleichwertig.</w:t>
      </w:r>
    </w:p>
    <w:p>
      <w:r>
        <w:t xml:space="preserve">(6) Ein gemäß der Richtlinie 2014/65/EU zugelassener Marktbetreiber darf eine Handelsplattform für Kryptowerte betreiben, wenn er der zuständigen Behörde des Herkunftsmitgliedstaats spätestens 40 Arbeitstage vor der erstmaligen Erbringung dieser Dienstleistung die in Absatz 7 des vorliegenden Artikels genannten Informationen übermittelt.</w:t>
      </w:r>
    </w:p>
    <w:p>
      <w:r>
        <w:t xml:space="preserve">(7) Für die Zwecke der Absätze 1 bis 6 müssen folgende Informationen übermittelt werden:</w:t>
      </w:r>
    </w:p>
    <w:p>
      <w:r>
        <w:t xml:space="preserve">a) Ein Geschäftsplan, aus dem hervorgeht, welche Arten von Kryptowerte-Dienstleistungen der antragstellende Anbieter von Kryptowerte-Dienstleistungen zu erbringen beabsichtigt, einschließlich Ort und Art der Vermarktung dieser Dienstleistungen;</w:t>
      </w:r>
    </w:p>
    <w:p>
      <w:r>
        <w:t xml:space="preserve">b) eine Beschreibung</w:t>
      </w:r>
    </w:p>
    <w:p>
      <w:r>
        <w:t xml:space="preserve">i) der Mechanismen, Strategien und Verfahren für die interne Kontrolle, um die Einhaltung der Bestimmungen des nationalen Rechts über die Umsetzung der Richtlinie (EU) 2015/849 sicherzustellen;</w:t>
      </w:r>
    </w:p>
    <w:p>
      <w:r>
        <w:t xml:space="preserve">ii) der Risikobewertungsrahmen für die Eindämmung von Geldwäsche- und Terrorismusfinanzierungsrisiken; und</w:t>
      </w:r>
    </w:p>
    <w:p>
      <w:r>
        <w:t xml:space="preserve">iii) des Plans zur Aufrechterhaltung des Geschäftsbetriebs;</w:t>
      </w:r>
    </w:p>
    <w:p>
      <w:r>
        <w:t xml:space="preserve">c) die technische Dokumentation der IKT-Systeme und der Sicherheitsvorkehrungen und deren nicht fachsprachliche Beschreibung;</w:t>
      </w:r>
    </w:p>
    <w:p>
      <w:r>
        <w:t xml:space="preserve">d) eine Beschreibung des Verfahrens für die Trennung von Kryptowerten und Geldbeträgen der Kunden;</w:t>
      </w:r>
    </w:p>
    <w:p>
      <w:r>
        <w:t xml:space="preserve">e) eine Beschreibung der Verwahrungs- und Verwaltungsgrundsätze sofern beabsichtigt ist, Kryptowerte für Kunden zu verwahren und zu verwalten;</w:t>
      </w:r>
    </w:p>
    <w:p>
      <w:r>
        <w:t xml:space="preserve">f) eine Beschreibung der Betriebsvorschriften der Handelsplattform und der Verfahren und des Systems zur Aufdeckung von Marktmissbrauch sofern beabsichtigt ist, eine Handelsplattform für Kryptowerte zu betreiben;</w:t>
      </w:r>
    </w:p>
    <w:p>
      <w:r>
        <w:t xml:space="preserve">g) eine Beschreibung der nichtdiskriminierenden Geschäftspolitik hinsichtlich der Beziehung zu den Kunden sowie eine Beschreibung der Methode für die Festlegung des Kurses der Kryptowerte, die für einen Tausch gegen einen Geldbetrag oder gegen andere Kryptowerte angeboten werden, sofern beabsichtigt ist, Kryptowerte gegen einen Geldbetrag oder gegen andere Kryptowerte zu tauschen;</w:t>
      </w:r>
    </w:p>
    <w:p>
      <w:r>
        <w:t xml:space="preserve">h) eine Beschreibung der Grundsätze der Auftragsausführung, sofern beabsichtigt ist, Aufträge über Kryptowerte für Kunden auszuführen;</w:t>
      </w:r>
    </w:p>
    <w:p>
      <w:r>
        <w:t xml:space="preserve">i) Belege dafür, dass die natürlichen Personen, die im Namen des antragstellenden Anbieters von Kryptowerte-Dienstleistungen Beratungsdienste leisten oder Portfolioverwaltung erbringen, über die erforderlichen Kenntnisse und die erforderliche Fachkompetenz verfügen, um ihren Verpflichtungen nachzukommen, sofern beabsichtigt ist, Beratungsdienste zu Kryptowerten zu leisten oder Portfolioverwaltung von Kryptowerten zu erbringen;</w:t>
      </w:r>
    </w:p>
    <w:p>
      <w:r>
        <w:t xml:space="preserve">j) ob sich die Kryptowerte-Dienstleistung auf vermögenswertereferenzierte Token, E-Geld-Token oder andere Kryptowerte bezieht.</w:t>
      </w:r>
    </w:p>
    <w:p>
      <w:r>
        <w:t xml:space="preserve">k) Informationen zur Art und Weise der Ausführung dieser Transferdienstleistungen, sofern beabsichtigt ist, Transferdienstleistungen für Kryptowerte für Kunden auszuführen;</w:t>
      </w:r>
    </w:p>
    <w:p>
      <w:r>
        <w:t xml:space="preserve">(8) Eine zuständige Behörde, bei der eine in den Absätzen 1 bis 6 genannte Mitteilung eingeht, prüft innerhalb von 20 Arbeitstagen nach Eingang dieser Mitteilung, ob alle erforderlichen Informationen bereitgestellt wurden. Gelangt die zuständige Behörde zu dem Schluss, dass eine Mitteilung nicht vollständig ist, so teilt sie dies dem mitteilenden Rechtsträger sofort mit und legt eine Frist fest, bis zu deren Ablauf der Rechtsträger die fehlenden Informationen bereitstellen muss.</w:t>
      </w:r>
    </w:p>
    <w:p>
      <w:r>
        <w:t xml:space="preserve">Die Frist für die Bereitstellung der fehlenden Informationen darf 20 Arbeitstage ab dem Tag der Anforderung nicht überschreiten. Bis zum Ablauf dieser Frist werden die jeweiligen in den Absätzen 1 bis 6 festgelegten Zeiträume ausgesetzt. Die Anforderung weiterer Ergänzungen oder Klarstellungen zu den Informationen liegt im Ermessen der zuständigen Behörde, führt jedoch nicht zu einer Aussetzung des in den Absätzen 1 bis 6 festgelegten Zeiträume.</w:t>
      </w:r>
    </w:p>
    <w:p>
      <w:r>
        <w:t xml:space="preserve">Der Anbieter von Kryptowerte-Dienstleistungen darf die Erbringung der Kryptowerte-Dienstleistungen nicht beginnen, solange die Mitteilung unvollständig ist.</w:t>
      </w:r>
    </w:p>
    <w:p>
      <w:r>
        <w:t xml:space="preserve">(9) Die in den Absätzen 1 bis 6 genannten Rechtsträger sind nicht verpflichtet, in Absatz 7 genannte Informationen, die sie der zuständigen Behörde bereits übermittelt haben, erneut zu übermitteln, sofern diese Informationen identisch sind. Bei der Übermittlung der in Absatz 7 genannten Informationen müssen die in den Absätzen 1 bis 6 genannten Rechtsträger ausdrücklich darauf hinweisen, dass alle bereits übermittelten Informationen noch aktuell sind.</w:t>
      </w:r>
    </w:p>
    <w:p>
      <w:r>
        <w:t xml:space="preserve">(10) Erbringen die in den Absätzen 1 bis 6 des vorliegenden Artikels genannten Rechtsträger Kryptowerte-Dienstleistungen, so finden die Artikel 62, 63, 64, 67, 83 und 84 auf sie keine Anwendung.</w:t>
      </w:r>
    </w:p>
    <w:p>
      <w:r>
        <w:t xml:space="preserve">(11) Das Recht zur Erbringung der in den Absätzen 1 bis 6 genannten Kryptowerte-Dienstleistungen erlischt mit dem Entzug der einschlägigen Zulassung, die es dem betreffenden Rechtsträger ermöglicht hat, die Kryptowerte-Dienstleistungen zu erbringen, ohne eine Zulassung gemäß Artikel 59 beantragen zu müssen.</w:t>
      </w:r>
    </w:p>
    <w:p>
      <w:r>
        <w:t xml:space="preserve">(12) Die zuständigen Behörden teilen der ESMA die in Artikel 109 Absatz 5 genannten Informationen Kryptowerte-Dienstleistungen mit, nachdem sie die Vollständigkeit der in Absatz 7 des vorliegenden Artikels genannten Informationen überprüft haben.</w:t>
      </w:r>
    </w:p>
    <w:p>
      <w:r>
        <w:t xml:space="preserve">Die ESMA stellt diese Informationen ab dem Startdatum der beabsichtigten Erbringung von Kryptowerte-Dienstleistungen in dem in Artikel 109 genannten Register zur Verfügung.</w:t>
      </w:r>
    </w:p>
    <w:p>
      <w:r>
        <w:t xml:space="preserve">(13) Die ESMA arbeitet in enger Zusammenarbeit mit der EBA Entwürfe technischer Regulierungsstandards aus, um die in Absatz 7 genannten Informationen zu präzisieren.</w:t>
      </w:r>
    </w:p>
    <w:p>
      <w:r>
        <w:t xml:space="preserve">Die ESMA übermittelt der Kommission die in Unterabsatz 1 genannten Entwürfe technischer Regulierungsstandards spätestens am 30. Juni 2024.</w:t>
      </w:r>
    </w:p>
    <w:p>
      <w:r>
        <w:t xml:space="preserve">Der Kommission wird die Befugnis übertragen, diese Verordnung durch Erlass der in Unterabsatz 1 genannten technischen Regulierungsstandards gemäß den Artikeln 10 bis 14 der Verordnung (EU) Nr. 1095/2010 zu ergänzen.</w:t>
      </w:r>
    </w:p>
    <w:p>
      <w:r>
        <w:t xml:space="preserve">(14) Die ESMA arbeitet in enger Zusammenarbeit mit der EBA Entwürfe technischer Durchführungsstandards zur Festlegung von Standardformularen, Mustertexten und Verfahren für die Mitteilung gemäß Absatz 7 aus.</w:t>
      </w:r>
    </w:p>
    <w:p>
      <w:r>
        <w:t xml:space="preserve">Die ESMA übermittelt der Kommission die in Unterabsatz 1 genannten Entwürfe technischer Durchführungsstandards spätestens am 30. Juni 2024.</w:t>
      </w:r>
    </w:p>
    <w:p>
      <w:r>
        <w:t xml:space="preserve">Der Kommission wird die Befugnis übertragen, die in Unterabsatz 1 genannten technischen Durchführungsstandards gemäß Artikel 15 der Verordnung (EU) Nr. 1095/2010 zu erlassen.</w:t>
      </w:r>
    </w:p>
    <w:p>
      <w:r>
        <w:rPr>
          <w:color w:val="555555"/>
          <w:sz w:val="17"/>
        </w:rPr>
        <w:t xml:space="preserve">Zitiervorschlag: Art 60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