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55 MiCA — Sanierungs- und Rücktauschplan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Titel III Kapitel 6 gilt entsprechend für Emittenten von E-Geld-Token.</w:t>
      </w:r>
    </w:p>
    <w:p>
      <w:r>
        <w:t xml:space="preserve">Abweichend von Artikel 46 Absatz 2 muss der Zeitpunkt, bis zu dem der Sanierungsplan der zuständigen Behörde mitzuteilen ist, in Bezug auf Emittenten von E-Geld-Token innerhalb von sechs Monaten nach dem öffentlichen Angebot oder der Zulassung zum Handel liegen.</w:t>
      </w:r>
    </w:p>
    <w:p>
      <w:r>
        <w:t xml:space="preserve">Abweichend von Artikel 47 Absatz 3 muss der Zeitpunkt, bis zu dem der Rücktauschplan der zuständigen Behörde mitzuteilen ist, in Bezug auf Emittenten von E-Geld-Token innerhalb von sechs Monaten nach dem Zeitpunkt des öffentlichen Angebots oder der Zulassung zum Handel liegen.</w:t>
      </w:r>
    </w:p>
    <w:p>
      <w:r>
        <w:rPr>
          <w:color w:val="555555"/>
          <w:sz w:val="17"/>
        </w:rPr>
        <w:t xml:space="preserve">Zitiervorschlag: Art 55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https://recht.nulegal.eu/gesetze/MiCA/55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