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MiCA — Anlage von im Tausch gegen E-Geld-Token entgegengenommenen Geldbeträgen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Geldbeträge, die Emittenten von E-Geld-Token im Tausch gegen E-Geld-Token entgegengenommen haben und die gemäß Artikel 7 Absatz 1 der Richtlinie 2009/110/EG besichert sind, müssen das Folgende einhalten:</w:t>
      </w:r>
    </w:p>
    <w:p>
      <w:r>
        <w:t xml:space="preserve">a) Mindestens 30 % der erhaltenen Geldbeträge sind stets auf gesonderten Konten bei Kreditinstituten zu hinterlegen.</w:t>
      </w:r>
    </w:p>
    <w:p>
      <w:r>
        <w:t xml:space="preserve">b) Die übrigen Geldbeträge müssen in sichere Aktiva mit niedrigem Risiko investiert werden, die gemäß Artikel 38 Absatz 1 dieser Verordnung als hochliquide Finanzinstrumente mit minimalem Marktrisiko, Kreditrisiko und Konzentrationsrisiko gelten, die auf dieselbe amtliche Währung lauten, auf die sich der E-Geld-Token bezieht.</w:t>
      </w:r>
    </w:p>
    <w:p>
      <w:r>
        <w:rPr>
          <w:color w:val="555555"/>
          <w:sz w:val="17"/>
        </w:rPr>
        <w:t xml:space="preserve">Zitiervorschlag: Art 54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https://recht.nulegal.eu/gesetze/MiCA/54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